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7C9AF" w14:textId="77777777" w:rsidR="00301AB3" w:rsidRPr="00163756" w:rsidRDefault="00301AB3" w:rsidP="00301AB3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Cs w:val="22"/>
        </w:rPr>
      </w:pPr>
      <w:r w:rsidRPr="00163756">
        <w:rPr>
          <w:rFonts w:ascii="Calibri" w:hAnsi="Calibri" w:cs="Calibri"/>
          <w:b/>
          <w:bCs/>
          <w:color w:val="000000"/>
          <w:szCs w:val="22"/>
        </w:rPr>
        <w:t>For IPHC Area 3A: </w:t>
      </w:r>
    </w:p>
    <w:p w14:paraId="42F127C6" w14:textId="1759E6C4" w:rsidR="00301AB3" w:rsidRPr="00163756" w:rsidRDefault="00301AB3" w:rsidP="00301AB3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Cs w:val="22"/>
        </w:rPr>
      </w:pPr>
      <w:r w:rsidRPr="00163756">
        <w:rPr>
          <w:rFonts w:ascii="Calibri" w:hAnsi="Calibri" w:cs="Calibri"/>
          <w:color w:val="000000"/>
          <w:szCs w:val="22"/>
        </w:rPr>
        <w:t>All allocations shown below include, unless otherwise specified</w:t>
      </w:r>
      <w:r>
        <w:rPr>
          <w:rFonts w:ascii="Calibri" w:hAnsi="Calibri" w:cs="Calibri"/>
          <w:color w:val="000000"/>
          <w:szCs w:val="22"/>
        </w:rPr>
        <w:t>:</w:t>
      </w:r>
      <w:r w:rsidRPr="00163756">
        <w:rPr>
          <w:rFonts w:ascii="Calibri" w:hAnsi="Calibri" w:cs="Calibri"/>
          <w:color w:val="000000"/>
          <w:szCs w:val="22"/>
        </w:rPr>
        <w:t xml:space="preserve"> a da</w:t>
      </w:r>
      <w:r>
        <w:rPr>
          <w:rFonts w:ascii="Calibri" w:hAnsi="Calibri" w:cs="Calibri"/>
          <w:color w:val="000000"/>
          <w:szCs w:val="22"/>
        </w:rPr>
        <w:t>ily bag limit of 2 halibut;</w:t>
      </w:r>
      <w:r w:rsidRPr="00163756">
        <w:rPr>
          <w:rFonts w:ascii="Calibri" w:hAnsi="Calibri" w:cs="Calibri"/>
          <w:color w:val="000000"/>
          <w:szCs w:val="22"/>
        </w:rPr>
        <w:t xml:space="preserve"> </w:t>
      </w:r>
      <w:r>
        <w:rPr>
          <w:rFonts w:ascii="Calibri" w:hAnsi="Calibri" w:cs="Calibri"/>
          <w:color w:val="000000"/>
          <w:szCs w:val="22"/>
        </w:rPr>
        <w:t>one fish of any size and one fish with a maximum size limit</w:t>
      </w:r>
      <w:r w:rsidR="00C761CA">
        <w:rPr>
          <w:rFonts w:ascii="Calibri" w:hAnsi="Calibri" w:cs="Calibri"/>
          <w:color w:val="000000"/>
          <w:szCs w:val="22"/>
        </w:rPr>
        <w:t xml:space="preserve"> of 28 inches</w:t>
      </w:r>
      <w:r>
        <w:rPr>
          <w:rFonts w:ascii="Calibri" w:hAnsi="Calibri" w:cs="Calibri"/>
          <w:color w:val="000000"/>
          <w:szCs w:val="22"/>
        </w:rPr>
        <w:t>;</w:t>
      </w:r>
      <w:r w:rsidRPr="00163756">
        <w:rPr>
          <w:rFonts w:ascii="Calibri" w:hAnsi="Calibri" w:cs="Calibri"/>
          <w:color w:val="000000"/>
          <w:szCs w:val="22"/>
        </w:rPr>
        <w:t xml:space="preserve"> 1 trip per charter vessel per day</w:t>
      </w:r>
      <w:r>
        <w:rPr>
          <w:rFonts w:ascii="Calibri" w:hAnsi="Calibri" w:cs="Calibri"/>
          <w:color w:val="000000"/>
          <w:szCs w:val="22"/>
        </w:rPr>
        <w:t xml:space="preserve"> with retention of halibut</w:t>
      </w:r>
      <w:r w:rsidRPr="00163756">
        <w:rPr>
          <w:rFonts w:ascii="Calibri" w:hAnsi="Calibri" w:cs="Calibri"/>
          <w:color w:val="000000"/>
          <w:szCs w:val="22"/>
        </w:rPr>
        <w:t xml:space="preserve">; </w:t>
      </w:r>
      <w:proofErr w:type="gramStart"/>
      <w:r w:rsidRPr="00163756">
        <w:rPr>
          <w:rFonts w:ascii="Calibri" w:hAnsi="Calibri" w:cs="Calibri"/>
          <w:color w:val="000000"/>
          <w:szCs w:val="22"/>
        </w:rPr>
        <w:t>and</w:t>
      </w:r>
      <w:r>
        <w:rPr>
          <w:rFonts w:ascii="Calibri" w:hAnsi="Calibri" w:cs="Calibri"/>
          <w:color w:val="000000"/>
          <w:szCs w:val="22"/>
        </w:rPr>
        <w:t>,</w:t>
      </w:r>
      <w:proofErr w:type="gramEnd"/>
      <w:r w:rsidRPr="00163756">
        <w:rPr>
          <w:rFonts w:ascii="Calibri" w:hAnsi="Calibri" w:cs="Calibri"/>
          <w:color w:val="000000"/>
          <w:szCs w:val="22"/>
        </w:rPr>
        <w:t xml:space="preserve"> 1 trip per charter halibut permit per day. </w:t>
      </w:r>
    </w:p>
    <w:p w14:paraId="388FB1AB" w14:textId="16AFA15E" w:rsidR="00301AB3" w:rsidRPr="00AC4BC1" w:rsidRDefault="00301AB3" w:rsidP="00AC4BC1">
      <w:pPr>
        <w:pStyle w:val="ListParagraph"/>
        <w:numPr>
          <w:ilvl w:val="0"/>
          <w:numId w:val="4"/>
        </w:numPr>
        <w:shd w:val="clear" w:color="auto" w:fill="FFFFFF"/>
        <w:spacing w:line="235" w:lineRule="atLeast"/>
        <w:rPr>
          <w:rFonts w:ascii="Calibri" w:hAnsi="Calibri" w:cs="Calibri"/>
          <w:color w:val="222222"/>
          <w:szCs w:val="22"/>
        </w:rPr>
      </w:pPr>
      <w:r w:rsidRPr="00AC4BC1">
        <w:rPr>
          <w:rFonts w:asciiTheme="minorHAnsi" w:hAnsiTheme="minorHAnsi" w:cstheme="minorHAnsi"/>
          <w:color w:val="222222"/>
          <w:szCs w:val="22"/>
        </w:rPr>
        <w:t>If</w:t>
      </w:r>
      <w:r w:rsidRPr="00AC4BC1">
        <w:rPr>
          <w:rFonts w:ascii="Calibri" w:hAnsi="Calibri" w:cs="Calibri"/>
          <w:color w:val="222222"/>
          <w:szCs w:val="22"/>
        </w:rPr>
        <w:t xml:space="preserve"> the allocation</w:t>
      </w:r>
      <w:r w:rsidR="00C30130" w:rsidRPr="00AC4BC1">
        <w:rPr>
          <w:rFonts w:ascii="Calibri" w:hAnsi="Calibri" w:cs="Calibri"/>
          <w:color w:val="222222"/>
          <w:szCs w:val="22"/>
        </w:rPr>
        <w:t xml:space="preserve"> less than</w:t>
      </w:r>
      <w:r w:rsidR="00D7550A" w:rsidRPr="00AC4BC1">
        <w:rPr>
          <w:rFonts w:ascii="Calibri" w:hAnsi="Calibri" w:cs="Calibri"/>
          <w:color w:val="222222"/>
          <w:szCs w:val="22"/>
        </w:rPr>
        <w:t xml:space="preserve"> or equal to</w:t>
      </w:r>
      <w:r w:rsidR="00C30130" w:rsidRPr="00AC4BC1">
        <w:rPr>
          <w:rFonts w:ascii="Calibri" w:hAnsi="Calibri" w:cs="Calibri"/>
          <w:color w:val="222222"/>
          <w:szCs w:val="22"/>
        </w:rPr>
        <w:t xml:space="preserve"> </w:t>
      </w:r>
      <w:r w:rsidR="0065723C" w:rsidRPr="00AC4BC1">
        <w:rPr>
          <w:rFonts w:ascii="Calibri" w:hAnsi="Calibri" w:cs="Calibri"/>
          <w:color w:val="222222"/>
          <w:szCs w:val="22"/>
        </w:rPr>
        <w:t>2.079Mlb, but</w:t>
      </w:r>
      <w:r w:rsidRPr="00AC4BC1">
        <w:rPr>
          <w:rFonts w:ascii="Calibri" w:hAnsi="Calibri" w:cs="Calibri"/>
          <w:color w:val="222222"/>
          <w:szCs w:val="22"/>
        </w:rPr>
        <w:t xml:space="preserve"> greater than or equal to 1.</w:t>
      </w:r>
      <w:r w:rsidR="005404E4" w:rsidRPr="00AC4BC1">
        <w:rPr>
          <w:rFonts w:ascii="Calibri" w:hAnsi="Calibri" w:cs="Calibri"/>
          <w:color w:val="222222"/>
          <w:szCs w:val="22"/>
        </w:rPr>
        <w:t>762</w:t>
      </w:r>
      <w:r w:rsidRPr="00AC4BC1">
        <w:rPr>
          <w:rFonts w:ascii="Calibri" w:hAnsi="Calibri" w:cs="Calibri"/>
          <w:color w:val="222222"/>
          <w:szCs w:val="22"/>
        </w:rPr>
        <w:t>Mlb, apply: </w:t>
      </w:r>
    </w:p>
    <w:p w14:paraId="12490774" w14:textId="77777777" w:rsidR="00AC4BC1" w:rsidRPr="00AC4BC1" w:rsidRDefault="00AC4BC1" w:rsidP="00AC4BC1">
      <w:pPr>
        <w:pStyle w:val="ListParagraph"/>
        <w:shd w:val="clear" w:color="auto" w:fill="FFFFFF"/>
        <w:spacing w:line="235" w:lineRule="atLeast"/>
        <w:ind w:left="820"/>
        <w:rPr>
          <w:rFonts w:ascii="Calibri" w:hAnsi="Calibri" w:cs="Calibri"/>
          <w:color w:val="222222"/>
          <w:szCs w:val="22"/>
        </w:rPr>
      </w:pPr>
    </w:p>
    <w:p w14:paraId="7B9FC5AF" w14:textId="582F1229" w:rsidR="00301AB3" w:rsidRPr="00143DD7" w:rsidRDefault="00D7550A" w:rsidP="00143DD7">
      <w:pPr>
        <w:pStyle w:val="ListParagraph"/>
        <w:numPr>
          <w:ilvl w:val="0"/>
          <w:numId w:val="3"/>
        </w:numPr>
        <w:shd w:val="clear" w:color="auto" w:fill="FFFFFF"/>
        <w:spacing w:line="235" w:lineRule="atLeast"/>
        <w:rPr>
          <w:rFonts w:ascii="Calibri" w:hAnsi="Calibri" w:cs="Calibri"/>
          <w:color w:val="222222"/>
          <w:szCs w:val="22"/>
        </w:rPr>
      </w:pPr>
      <w:r w:rsidRPr="00143DD7">
        <w:rPr>
          <w:rFonts w:ascii="Calibri" w:hAnsi="Calibri" w:cs="Calibri"/>
          <w:color w:val="222222"/>
          <w:szCs w:val="22"/>
        </w:rPr>
        <w:t xml:space="preserve">Close </w:t>
      </w:r>
      <w:r w:rsidR="00DA6A5C" w:rsidRPr="00143DD7">
        <w:rPr>
          <w:rFonts w:ascii="Calibri" w:hAnsi="Calibri" w:cs="Calibri"/>
          <w:color w:val="222222"/>
          <w:szCs w:val="22"/>
        </w:rPr>
        <w:t xml:space="preserve">Wednesdays as needed to keep charter harvest removals </w:t>
      </w:r>
      <w:r w:rsidR="00D63C46" w:rsidRPr="00143DD7">
        <w:rPr>
          <w:rFonts w:ascii="Calibri" w:hAnsi="Calibri" w:cs="Calibri"/>
          <w:color w:val="222222"/>
          <w:szCs w:val="22"/>
        </w:rPr>
        <w:t xml:space="preserve">within the Area 3A allocation, as indicated in </w:t>
      </w:r>
      <w:r w:rsidR="00D63C46" w:rsidRPr="00143DD7">
        <w:rPr>
          <w:rFonts w:ascii="Calibri" w:hAnsi="Calibri" w:cs="Calibri"/>
          <w:b/>
          <w:bCs/>
          <w:color w:val="222222"/>
          <w:szCs w:val="22"/>
        </w:rPr>
        <w:t>Table 3A</w:t>
      </w:r>
      <w:r w:rsidR="00617270" w:rsidRPr="00143DD7">
        <w:rPr>
          <w:rFonts w:ascii="Calibri" w:hAnsi="Calibri" w:cs="Calibri"/>
          <w:b/>
          <w:bCs/>
          <w:color w:val="222222"/>
          <w:szCs w:val="22"/>
        </w:rPr>
        <w:t xml:space="preserve">.13 </w:t>
      </w:r>
      <w:r w:rsidR="00617270" w:rsidRPr="00143DD7">
        <w:rPr>
          <w:rFonts w:ascii="Calibri" w:hAnsi="Calibri" w:cs="Calibri"/>
          <w:color w:val="222222"/>
          <w:szCs w:val="22"/>
        </w:rPr>
        <w:t>of the ADF</w:t>
      </w:r>
      <w:r w:rsidR="00143DD7" w:rsidRPr="00143DD7">
        <w:rPr>
          <w:rFonts w:ascii="Calibri" w:hAnsi="Calibri" w:cs="Calibri"/>
          <w:color w:val="222222"/>
          <w:szCs w:val="22"/>
        </w:rPr>
        <w:t>&amp;G analysis.</w:t>
      </w:r>
      <w:r w:rsidR="00AF37F3" w:rsidRPr="00143DD7">
        <w:rPr>
          <w:color w:val="222222"/>
          <w:sz w:val="14"/>
          <w:szCs w:val="14"/>
        </w:rPr>
        <w:t> </w:t>
      </w:r>
    </w:p>
    <w:p w14:paraId="3B6FBF3D" w14:textId="77777777" w:rsidR="00301AB3" w:rsidRPr="00163756" w:rsidRDefault="00301AB3" w:rsidP="00301AB3">
      <w:pPr>
        <w:shd w:val="clear" w:color="auto" w:fill="FFFFFF"/>
        <w:spacing w:line="235" w:lineRule="atLeast"/>
        <w:ind w:left="1080"/>
        <w:rPr>
          <w:rFonts w:ascii="Calibri" w:hAnsi="Calibri" w:cs="Calibri"/>
          <w:color w:val="000000"/>
          <w:szCs w:val="22"/>
        </w:rPr>
      </w:pPr>
      <w:r w:rsidRPr="00163756">
        <w:rPr>
          <w:rFonts w:ascii="Calibri" w:hAnsi="Calibri" w:cs="Calibri"/>
          <w:color w:val="000000"/>
          <w:szCs w:val="22"/>
        </w:rPr>
        <w:t> </w:t>
      </w:r>
    </w:p>
    <w:p w14:paraId="490859F5" w14:textId="06EAE6A8" w:rsidR="00AF37F3" w:rsidRDefault="00301AB3" w:rsidP="00301AB3">
      <w:pPr>
        <w:shd w:val="clear" w:color="auto" w:fill="FFFFFF"/>
        <w:spacing w:line="235" w:lineRule="atLeast"/>
        <w:ind w:left="360"/>
        <w:rPr>
          <w:rFonts w:asciiTheme="minorHAnsi" w:hAnsiTheme="minorHAnsi" w:cstheme="minorHAnsi"/>
          <w:color w:val="222222"/>
          <w:szCs w:val="22"/>
        </w:rPr>
      </w:pPr>
      <w:r w:rsidRPr="0013237F">
        <w:rPr>
          <w:rFonts w:asciiTheme="minorHAnsi" w:hAnsiTheme="minorHAnsi" w:cstheme="minorHAnsi"/>
          <w:color w:val="222222"/>
          <w:szCs w:val="22"/>
        </w:rPr>
        <w:t>2)</w:t>
      </w:r>
      <w:r w:rsidRPr="0013237F">
        <w:rPr>
          <w:rFonts w:asciiTheme="minorHAnsi" w:hAnsiTheme="minorHAnsi" w:cstheme="minorHAnsi"/>
          <w:color w:val="222222"/>
          <w:sz w:val="14"/>
          <w:szCs w:val="14"/>
        </w:rPr>
        <w:t>       </w:t>
      </w:r>
      <w:r w:rsidRPr="0013237F">
        <w:rPr>
          <w:rFonts w:asciiTheme="minorHAnsi" w:hAnsiTheme="minorHAnsi" w:cstheme="minorHAnsi"/>
          <w:color w:val="222222"/>
          <w:szCs w:val="22"/>
        </w:rPr>
        <w:t xml:space="preserve">If the allocation is less than </w:t>
      </w:r>
      <w:r>
        <w:rPr>
          <w:rFonts w:asciiTheme="minorHAnsi" w:hAnsiTheme="minorHAnsi" w:cstheme="minorHAnsi"/>
          <w:color w:val="222222"/>
          <w:szCs w:val="22"/>
        </w:rPr>
        <w:t>1.</w:t>
      </w:r>
      <w:r w:rsidR="008B262A">
        <w:rPr>
          <w:rFonts w:asciiTheme="minorHAnsi" w:hAnsiTheme="minorHAnsi" w:cstheme="minorHAnsi"/>
          <w:color w:val="222222"/>
          <w:szCs w:val="22"/>
        </w:rPr>
        <w:t>762</w:t>
      </w:r>
      <w:r w:rsidR="00AF37F3">
        <w:rPr>
          <w:rFonts w:asciiTheme="minorHAnsi" w:hAnsiTheme="minorHAnsi" w:cstheme="minorHAnsi"/>
          <w:color w:val="222222"/>
          <w:szCs w:val="22"/>
        </w:rPr>
        <w:t>-</w:t>
      </w:r>
      <w:r w:rsidRPr="0013237F">
        <w:rPr>
          <w:rFonts w:asciiTheme="minorHAnsi" w:hAnsiTheme="minorHAnsi" w:cstheme="minorHAnsi"/>
          <w:color w:val="222222"/>
          <w:szCs w:val="22"/>
        </w:rPr>
        <w:t xml:space="preserve"> </w:t>
      </w:r>
      <w:proofErr w:type="spellStart"/>
      <w:r w:rsidRPr="0013237F">
        <w:rPr>
          <w:rFonts w:asciiTheme="minorHAnsi" w:hAnsiTheme="minorHAnsi" w:cstheme="minorHAnsi"/>
          <w:color w:val="222222"/>
          <w:szCs w:val="22"/>
        </w:rPr>
        <w:t>Mlb</w:t>
      </w:r>
      <w:proofErr w:type="spellEnd"/>
      <w:r w:rsidRPr="0013237F">
        <w:rPr>
          <w:rFonts w:asciiTheme="minorHAnsi" w:hAnsiTheme="minorHAnsi" w:cstheme="minorHAnsi"/>
          <w:color w:val="222222"/>
          <w:szCs w:val="22"/>
        </w:rPr>
        <w:t>, but greater than 1.</w:t>
      </w:r>
      <w:r w:rsidR="00F34834">
        <w:rPr>
          <w:rFonts w:asciiTheme="minorHAnsi" w:hAnsiTheme="minorHAnsi" w:cstheme="minorHAnsi"/>
          <w:color w:val="222222"/>
          <w:szCs w:val="22"/>
        </w:rPr>
        <w:t>497</w:t>
      </w:r>
      <w:r w:rsidRPr="0013237F">
        <w:rPr>
          <w:rFonts w:asciiTheme="minorHAnsi" w:hAnsiTheme="minorHAnsi" w:cstheme="minorHAnsi"/>
          <w:color w:val="222222"/>
          <w:szCs w:val="22"/>
        </w:rPr>
        <w:t xml:space="preserve"> </w:t>
      </w:r>
      <w:proofErr w:type="spellStart"/>
      <w:r w:rsidRPr="0013237F">
        <w:rPr>
          <w:rFonts w:asciiTheme="minorHAnsi" w:hAnsiTheme="minorHAnsi" w:cstheme="minorHAnsi"/>
          <w:color w:val="222222"/>
          <w:szCs w:val="22"/>
        </w:rPr>
        <w:t>Mlb</w:t>
      </w:r>
      <w:proofErr w:type="spellEnd"/>
      <w:r w:rsidRPr="0013237F">
        <w:rPr>
          <w:rFonts w:asciiTheme="minorHAnsi" w:hAnsiTheme="minorHAnsi" w:cstheme="minorHAnsi"/>
          <w:color w:val="222222"/>
          <w:szCs w:val="22"/>
        </w:rPr>
        <w:t>: </w:t>
      </w:r>
    </w:p>
    <w:p w14:paraId="0C5CA149" w14:textId="77777777" w:rsidR="00443222" w:rsidRDefault="00443222" w:rsidP="00301AB3">
      <w:pPr>
        <w:shd w:val="clear" w:color="auto" w:fill="FFFFFF"/>
        <w:spacing w:line="235" w:lineRule="atLeast"/>
        <w:ind w:left="360"/>
        <w:rPr>
          <w:rFonts w:asciiTheme="minorHAnsi" w:hAnsiTheme="minorHAnsi" w:cstheme="minorHAnsi"/>
          <w:color w:val="222222"/>
          <w:szCs w:val="22"/>
        </w:rPr>
      </w:pPr>
    </w:p>
    <w:p w14:paraId="606FDAD4" w14:textId="2EBA5DB1" w:rsidR="00301AB3" w:rsidRPr="000460BB" w:rsidRDefault="000460BB" w:rsidP="000460BB">
      <w:pPr>
        <w:pStyle w:val="ListParagraph"/>
        <w:numPr>
          <w:ilvl w:val="0"/>
          <w:numId w:val="1"/>
        </w:numPr>
        <w:shd w:val="clear" w:color="auto" w:fill="FFFFFF"/>
        <w:spacing w:line="235" w:lineRule="atLeast"/>
        <w:rPr>
          <w:rFonts w:ascii="Calibri" w:hAnsi="Calibri" w:cs="Calibri"/>
          <w:color w:val="222222"/>
          <w:szCs w:val="22"/>
        </w:rPr>
      </w:pPr>
      <w:r>
        <w:rPr>
          <w:rFonts w:asciiTheme="minorHAnsi" w:hAnsiTheme="minorHAnsi" w:cstheme="minorHAnsi"/>
          <w:color w:val="222222"/>
          <w:szCs w:val="22"/>
        </w:rPr>
        <w:t>I</w:t>
      </w:r>
      <w:r w:rsidR="00301AB3" w:rsidRPr="000460BB">
        <w:rPr>
          <w:rFonts w:asciiTheme="minorHAnsi" w:hAnsiTheme="minorHAnsi" w:cstheme="minorHAnsi"/>
          <w:color w:val="222222"/>
          <w:szCs w:val="22"/>
        </w:rPr>
        <w:t>n addition to all closed Wednesdays and a second halibut 28 inches or less</w:t>
      </w:r>
      <w:r w:rsidR="00301AB3" w:rsidRPr="000460BB">
        <w:rPr>
          <w:rFonts w:ascii="Calibri" w:hAnsi="Calibri" w:cs="Calibri"/>
          <w:color w:val="222222"/>
          <w:szCs w:val="22"/>
        </w:rPr>
        <w:t xml:space="preserve">, close as many Tuesdays as needed to keep the charter harvest removals within the Area 3A allocation, as indicated in </w:t>
      </w:r>
      <w:r w:rsidR="00301AB3" w:rsidRPr="000460BB">
        <w:rPr>
          <w:rFonts w:ascii="Calibri" w:hAnsi="Calibri" w:cs="Calibri"/>
          <w:b/>
          <w:bCs/>
          <w:color w:val="222222"/>
          <w:szCs w:val="22"/>
        </w:rPr>
        <w:t>Table 3A.</w:t>
      </w:r>
      <w:r w:rsidR="00AF37F3" w:rsidRPr="000460BB">
        <w:rPr>
          <w:rFonts w:ascii="Calibri" w:hAnsi="Calibri" w:cs="Calibri"/>
          <w:b/>
          <w:bCs/>
          <w:color w:val="222222"/>
          <w:szCs w:val="22"/>
        </w:rPr>
        <w:t>1</w:t>
      </w:r>
      <w:r w:rsidR="00B548A0">
        <w:rPr>
          <w:rFonts w:ascii="Calibri" w:hAnsi="Calibri" w:cs="Calibri"/>
          <w:b/>
          <w:bCs/>
          <w:color w:val="222222"/>
          <w:szCs w:val="22"/>
        </w:rPr>
        <w:t>4</w:t>
      </w:r>
      <w:r w:rsidR="00301AB3" w:rsidRPr="000460BB">
        <w:rPr>
          <w:rFonts w:ascii="Calibri" w:hAnsi="Calibri" w:cs="Calibri"/>
          <w:color w:val="222222"/>
          <w:szCs w:val="22"/>
        </w:rPr>
        <w:t> of the ADF&amp;G analysis.</w:t>
      </w:r>
    </w:p>
    <w:p w14:paraId="3E2AD427" w14:textId="77777777" w:rsidR="00301AB3" w:rsidRPr="00163756" w:rsidRDefault="00301AB3" w:rsidP="00301AB3">
      <w:pPr>
        <w:shd w:val="clear" w:color="auto" w:fill="FFFFFF"/>
        <w:spacing w:line="235" w:lineRule="atLeast"/>
        <w:ind w:left="1080"/>
        <w:rPr>
          <w:rFonts w:ascii="Calibri" w:hAnsi="Calibri" w:cs="Calibri"/>
          <w:color w:val="000000"/>
          <w:szCs w:val="22"/>
        </w:rPr>
      </w:pPr>
      <w:r w:rsidRPr="00163756">
        <w:rPr>
          <w:rFonts w:ascii="Calibri" w:hAnsi="Calibri" w:cs="Calibri"/>
          <w:color w:val="000000"/>
          <w:szCs w:val="22"/>
        </w:rPr>
        <w:t> </w:t>
      </w:r>
    </w:p>
    <w:p w14:paraId="0C19AD8B" w14:textId="46326225" w:rsidR="000460BB" w:rsidRDefault="00301AB3" w:rsidP="00301AB3">
      <w:pPr>
        <w:shd w:val="clear" w:color="auto" w:fill="FFFFFF"/>
        <w:spacing w:after="160" w:line="235" w:lineRule="atLeast"/>
        <w:ind w:left="360"/>
        <w:rPr>
          <w:rFonts w:ascii="Calibri" w:hAnsi="Calibri" w:cs="Calibri"/>
          <w:color w:val="222222"/>
          <w:szCs w:val="22"/>
        </w:rPr>
      </w:pPr>
      <w:r w:rsidRPr="0013237F">
        <w:rPr>
          <w:rFonts w:asciiTheme="minorHAnsi" w:hAnsiTheme="minorHAnsi" w:cstheme="minorHAnsi"/>
          <w:color w:val="222222"/>
          <w:szCs w:val="22"/>
        </w:rPr>
        <w:t>3)</w:t>
      </w:r>
      <w:r w:rsidRPr="0013237F">
        <w:rPr>
          <w:rFonts w:asciiTheme="minorHAnsi" w:hAnsiTheme="minorHAnsi" w:cstheme="minorHAnsi"/>
          <w:color w:val="222222"/>
          <w:sz w:val="14"/>
          <w:szCs w:val="14"/>
        </w:rPr>
        <w:t>       </w:t>
      </w:r>
      <w:r w:rsidR="000460BB">
        <w:rPr>
          <w:rFonts w:asciiTheme="minorHAnsi" w:hAnsiTheme="minorHAnsi" w:cstheme="minorHAnsi"/>
          <w:color w:val="222222"/>
          <w:szCs w:val="22"/>
        </w:rPr>
        <w:t>If</w:t>
      </w:r>
      <w:r w:rsidRPr="00163756">
        <w:rPr>
          <w:rFonts w:ascii="Calibri" w:hAnsi="Calibri" w:cs="Calibri"/>
          <w:color w:val="222222"/>
          <w:szCs w:val="22"/>
        </w:rPr>
        <w:t xml:space="preserve"> the allocation </w:t>
      </w:r>
      <w:r w:rsidR="00A5569A">
        <w:rPr>
          <w:rFonts w:ascii="Calibri" w:hAnsi="Calibri" w:cs="Calibri"/>
          <w:color w:val="222222"/>
          <w:szCs w:val="22"/>
        </w:rPr>
        <w:t>is</w:t>
      </w:r>
      <w:r w:rsidRPr="00163756">
        <w:rPr>
          <w:rFonts w:ascii="Calibri" w:hAnsi="Calibri" w:cs="Calibri"/>
          <w:color w:val="222222"/>
          <w:szCs w:val="22"/>
        </w:rPr>
        <w:t xml:space="preserve"> below </w:t>
      </w:r>
      <w:r w:rsidR="00A5569A" w:rsidRPr="00163756">
        <w:rPr>
          <w:rFonts w:ascii="Calibri" w:hAnsi="Calibri" w:cs="Calibri"/>
          <w:color w:val="222222"/>
          <w:szCs w:val="22"/>
        </w:rPr>
        <w:t>1.</w:t>
      </w:r>
      <w:r w:rsidR="00084BAD">
        <w:rPr>
          <w:rFonts w:ascii="Calibri" w:hAnsi="Calibri" w:cs="Calibri"/>
          <w:color w:val="222222"/>
          <w:szCs w:val="22"/>
        </w:rPr>
        <w:t>497</w:t>
      </w:r>
      <w:r w:rsidR="00A5569A">
        <w:rPr>
          <w:rFonts w:ascii="Calibri" w:hAnsi="Calibri" w:cs="Calibri"/>
          <w:color w:val="222222"/>
          <w:szCs w:val="22"/>
        </w:rPr>
        <w:t xml:space="preserve"> </w:t>
      </w:r>
      <w:proofErr w:type="spellStart"/>
      <w:r w:rsidR="00A5569A" w:rsidRPr="00163756">
        <w:rPr>
          <w:rFonts w:ascii="Calibri" w:hAnsi="Calibri" w:cs="Calibri"/>
          <w:color w:val="222222"/>
          <w:szCs w:val="22"/>
        </w:rPr>
        <w:t>Mlb</w:t>
      </w:r>
      <w:proofErr w:type="spellEnd"/>
      <w:r w:rsidR="000460BB">
        <w:rPr>
          <w:rFonts w:ascii="Calibri" w:hAnsi="Calibri" w:cs="Calibri"/>
          <w:color w:val="222222"/>
          <w:szCs w:val="22"/>
        </w:rPr>
        <w:t>:</w:t>
      </w:r>
    </w:p>
    <w:p w14:paraId="79CD30CC" w14:textId="78DE2F2F" w:rsidR="00AF225B" w:rsidRPr="00435BA9" w:rsidRDefault="000460BB" w:rsidP="00435BA9">
      <w:pPr>
        <w:pStyle w:val="ListParagraph"/>
        <w:numPr>
          <w:ilvl w:val="0"/>
          <w:numId w:val="1"/>
        </w:numPr>
        <w:shd w:val="clear" w:color="auto" w:fill="FFFFFF"/>
        <w:spacing w:after="160" w:line="235" w:lineRule="atLeast"/>
        <w:rPr>
          <w:rFonts w:ascii="Calibri" w:hAnsi="Calibri" w:cs="Calibri"/>
          <w:color w:val="222222"/>
          <w:szCs w:val="22"/>
        </w:rPr>
      </w:pPr>
      <w:r w:rsidRPr="00F63556">
        <w:rPr>
          <w:rFonts w:ascii="Calibri" w:hAnsi="Calibri" w:cs="Calibri"/>
          <w:color w:val="222222"/>
          <w:szCs w:val="22"/>
        </w:rPr>
        <w:t>I</w:t>
      </w:r>
      <w:r w:rsidR="00301AB3" w:rsidRPr="00F63556">
        <w:rPr>
          <w:rFonts w:ascii="Calibri" w:hAnsi="Calibri" w:cs="Calibri"/>
          <w:color w:val="222222"/>
          <w:szCs w:val="22"/>
        </w:rPr>
        <w:t xml:space="preserve">n addition to closing all Tuesdays and Wednesdays, </w:t>
      </w:r>
      <w:r w:rsidR="00301AB3" w:rsidRPr="00F63556">
        <w:rPr>
          <w:rFonts w:ascii="Calibri" w:hAnsi="Calibri" w:cs="Calibri"/>
          <w:color w:val="000000"/>
          <w:szCs w:val="22"/>
        </w:rPr>
        <w:t>lower the size of the second fish to as low as 26 inches, until the projected charter harvest removals meet the allocation. This covers allocations as low as 1.</w:t>
      </w:r>
      <w:r w:rsidR="0029515B" w:rsidRPr="00F63556">
        <w:rPr>
          <w:rFonts w:ascii="Calibri" w:hAnsi="Calibri" w:cs="Calibri"/>
          <w:color w:val="000000"/>
          <w:szCs w:val="22"/>
        </w:rPr>
        <w:t>425</w:t>
      </w:r>
      <w:r w:rsidR="00301AB3" w:rsidRPr="00F63556">
        <w:rPr>
          <w:rFonts w:ascii="Calibri" w:hAnsi="Calibri" w:cs="Calibri"/>
          <w:color w:val="000000"/>
          <w:szCs w:val="22"/>
        </w:rPr>
        <w:t xml:space="preserve"> </w:t>
      </w:r>
      <w:proofErr w:type="spellStart"/>
      <w:r w:rsidR="00301AB3" w:rsidRPr="00F63556">
        <w:rPr>
          <w:rFonts w:ascii="Calibri" w:hAnsi="Calibri" w:cs="Calibri"/>
          <w:color w:val="000000"/>
          <w:szCs w:val="22"/>
        </w:rPr>
        <w:t>Mlb</w:t>
      </w:r>
      <w:proofErr w:type="spellEnd"/>
      <w:r w:rsidR="00301AB3" w:rsidRPr="00F63556">
        <w:rPr>
          <w:rFonts w:ascii="Calibri" w:hAnsi="Calibri" w:cs="Calibri"/>
          <w:color w:val="000000"/>
          <w:szCs w:val="22"/>
        </w:rPr>
        <w:t xml:space="preserve"> as indicated in </w:t>
      </w:r>
      <w:r w:rsidR="00301AB3" w:rsidRPr="00F63556">
        <w:rPr>
          <w:rFonts w:ascii="Calibri" w:hAnsi="Calibri" w:cs="Calibri"/>
          <w:b/>
          <w:color w:val="000000"/>
          <w:szCs w:val="22"/>
        </w:rPr>
        <w:t xml:space="preserve">Table </w:t>
      </w:r>
      <w:r w:rsidR="00A5569A" w:rsidRPr="00F63556">
        <w:rPr>
          <w:rFonts w:ascii="Calibri" w:hAnsi="Calibri" w:cs="Calibri"/>
          <w:b/>
          <w:color w:val="000000"/>
          <w:szCs w:val="22"/>
        </w:rPr>
        <w:t>3A.1</w:t>
      </w:r>
      <w:r w:rsidR="00DF6BF7" w:rsidRPr="00F63556">
        <w:rPr>
          <w:rFonts w:ascii="Calibri" w:hAnsi="Calibri" w:cs="Calibri"/>
          <w:b/>
          <w:color w:val="000000"/>
          <w:szCs w:val="22"/>
        </w:rPr>
        <w:t>6</w:t>
      </w:r>
      <w:r w:rsidR="00301AB3" w:rsidRPr="00F63556">
        <w:rPr>
          <w:rFonts w:ascii="Calibri" w:hAnsi="Calibri" w:cs="Calibri"/>
          <w:color w:val="000000"/>
          <w:szCs w:val="22"/>
        </w:rPr>
        <w:t xml:space="preserve"> of the ADF&amp;G </w:t>
      </w:r>
      <w:r w:rsidR="00A5569A" w:rsidRPr="00F63556">
        <w:rPr>
          <w:rFonts w:ascii="Calibri" w:hAnsi="Calibri" w:cs="Calibri"/>
          <w:color w:val="000000"/>
          <w:szCs w:val="22"/>
        </w:rPr>
        <w:t>analysis.</w:t>
      </w:r>
    </w:p>
    <w:p w14:paraId="1C35908B" w14:textId="77777777" w:rsidR="00A5569A" w:rsidRPr="00A5569A" w:rsidRDefault="00A5569A">
      <w:pPr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800958" w14:textId="77777777" w:rsidR="00A5569A" w:rsidRPr="00A5569A" w:rsidRDefault="00A5569A">
      <w:pPr>
        <w:rPr>
          <w:rFonts w:asciiTheme="minorHAnsi" w:hAnsiTheme="minorHAnsi"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90EA7C" w14:textId="77777777" w:rsidR="00A5569A" w:rsidRPr="00A5569A" w:rsidRDefault="00A5569A">
      <w:pPr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D8BF36" w14:textId="77777777" w:rsidR="00A5569A" w:rsidRPr="00A5569A" w:rsidRDefault="00A5569A">
      <w:pPr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B41511" w14:textId="77777777" w:rsidR="00A5569A" w:rsidRPr="00A5569A" w:rsidRDefault="00A5569A">
      <w:pPr>
        <w:rPr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B1D5FE" w14:textId="77777777" w:rsidR="00A5569A" w:rsidRDefault="00A5569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3DCEE2" w14:textId="77777777" w:rsidR="00A5569A" w:rsidRPr="00A5569A" w:rsidRDefault="00A5569A">
      <w:pPr>
        <w:rPr>
          <w:rFonts w:ascii="Arial Rounded MT Bold" w:hAnsi="Arial Rounded MT Bold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4CA69D" w14:textId="77777777" w:rsidR="00A5569A" w:rsidRDefault="00A5569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B7B80B" w14:textId="77777777" w:rsidR="00A5569A" w:rsidRDefault="00A5569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D8591E" w14:textId="2E42E981" w:rsidR="00A5569A" w:rsidRPr="00A5569A" w:rsidRDefault="00A5569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A5569A" w:rsidRPr="00A5569A" w:rsidSect="00CA4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355FF"/>
    <w:multiLevelType w:val="hybridMultilevel"/>
    <w:tmpl w:val="C3ECDAE4"/>
    <w:lvl w:ilvl="0" w:tplc="04090001">
      <w:start w:val="1"/>
      <w:numFmt w:val="bullet"/>
      <w:lvlText w:val=""/>
      <w:lvlJc w:val="left"/>
      <w:pPr>
        <w:ind w:left="1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5" w:hanging="360"/>
      </w:pPr>
      <w:rPr>
        <w:rFonts w:ascii="Wingdings" w:hAnsi="Wingdings" w:hint="default"/>
      </w:rPr>
    </w:lvl>
  </w:abstractNum>
  <w:abstractNum w:abstractNumId="1" w15:restartNumberingAfterBreak="0">
    <w:nsid w:val="2C573CD2"/>
    <w:multiLevelType w:val="hybridMultilevel"/>
    <w:tmpl w:val="0818C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FC4625"/>
    <w:multiLevelType w:val="hybridMultilevel"/>
    <w:tmpl w:val="BD90F4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2516F9"/>
    <w:multiLevelType w:val="hybridMultilevel"/>
    <w:tmpl w:val="613EE154"/>
    <w:lvl w:ilvl="0" w:tplc="FFFFFFFF">
      <w:start w:val="1"/>
      <w:numFmt w:val="decimal"/>
      <w:lvlText w:val="%1)"/>
      <w:lvlJc w:val="left"/>
      <w:pPr>
        <w:ind w:left="820" w:hanging="4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87036">
    <w:abstractNumId w:val="2"/>
  </w:num>
  <w:num w:numId="2" w16cid:durableId="729574083">
    <w:abstractNumId w:val="0"/>
  </w:num>
  <w:num w:numId="3" w16cid:durableId="2004308521">
    <w:abstractNumId w:val="1"/>
  </w:num>
  <w:num w:numId="4" w16cid:durableId="1982923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B3"/>
    <w:rsid w:val="000460BB"/>
    <w:rsid w:val="00057035"/>
    <w:rsid w:val="00084BAD"/>
    <w:rsid w:val="000F27C4"/>
    <w:rsid w:val="00143DD7"/>
    <w:rsid w:val="001D63FA"/>
    <w:rsid w:val="0029515B"/>
    <w:rsid w:val="00301AB3"/>
    <w:rsid w:val="00376920"/>
    <w:rsid w:val="00435BA9"/>
    <w:rsid w:val="00443222"/>
    <w:rsid w:val="004A3E68"/>
    <w:rsid w:val="004E7007"/>
    <w:rsid w:val="005404E4"/>
    <w:rsid w:val="00617270"/>
    <w:rsid w:val="006542C7"/>
    <w:rsid w:val="0065723C"/>
    <w:rsid w:val="007F5075"/>
    <w:rsid w:val="008B262A"/>
    <w:rsid w:val="009140A3"/>
    <w:rsid w:val="00920872"/>
    <w:rsid w:val="00A45F9F"/>
    <w:rsid w:val="00A5569A"/>
    <w:rsid w:val="00A65CBD"/>
    <w:rsid w:val="00AC4BC1"/>
    <w:rsid w:val="00AF225B"/>
    <w:rsid w:val="00AF37F3"/>
    <w:rsid w:val="00B46034"/>
    <w:rsid w:val="00B541BF"/>
    <w:rsid w:val="00B548A0"/>
    <w:rsid w:val="00C30130"/>
    <w:rsid w:val="00C761CA"/>
    <w:rsid w:val="00CA348C"/>
    <w:rsid w:val="00CA4E6B"/>
    <w:rsid w:val="00D36694"/>
    <w:rsid w:val="00D63C46"/>
    <w:rsid w:val="00D7550A"/>
    <w:rsid w:val="00DA6A5C"/>
    <w:rsid w:val="00DF6BF7"/>
    <w:rsid w:val="00EF3423"/>
    <w:rsid w:val="00F34834"/>
    <w:rsid w:val="00F63556"/>
    <w:rsid w:val="00F7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0A4E1"/>
  <w15:chartTrackingRefBased/>
  <w15:docId w15:val="{A10223B2-66DC-0A47-BE10-337B0809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AB3"/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Mezirow</dc:creator>
  <cp:keywords/>
  <dc:description/>
  <cp:lastModifiedBy>Sarah Marrinan</cp:lastModifiedBy>
  <cp:revision>2</cp:revision>
  <cp:lastPrinted>2023-12-06T07:20:00Z</cp:lastPrinted>
  <dcterms:created xsi:type="dcterms:W3CDTF">2024-12-03T22:29:00Z</dcterms:created>
  <dcterms:modified xsi:type="dcterms:W3CDTF">2024-12-03T22:29:00Z</dcterms:modified>
</cp:coreProperties>
</file>