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78C41B" w14:textId="77777777" w:rsidR="007E476D" w:rsidRDefault="007E476D" w:rsidP="007E476D">
      <w:pPr>
        <w:spacing w:before="120" w:after="60"/>
        <w:jc w:val="center"/>
        <w:rPr>
          <w:rStyle w:val="TitleChar"/>
        </w:rPr>
      </w:pPr>
      <w:r>
        <w:rPr>
          <w:rStyle w:val="TitleChar"/>
        </w:rPr>
        <w:t>E</w:t>
      </w:r>
      <w:r w:rsidR="004C2ADC" w:rsidRPr="004C2ADC">
        <w:rPr>
          <w:rStyle w:val="TitleChar"/>
        </w:rPr>
        <w:t xml:space="preserve"> </w:t>
      </w:r>
      <w:r>
        <w:rPr>
          <w:rStyle w:val="TitleChar"/>
        </w:rPr>
        <w:t>Staff Tasking</w:t>
      </w:r>
    </w:p>
    <w:p w14:paraId="6A5C67FC" w14:textId="7A4B18B1" w:rsidR="00AD0F73" w:rsidRPr="00A8578D" w:rsidRDefault="00ED60DA" w:rsidP="007E476D">
      <w:pPr>
        <w:spacing w:before="60" w:after="60"/>
        <w:jc w:val="center"/>
        <w:rPr>
          <w:rFonts w:ascii="Arial" w:hAnsi="Arial" w:cs="Arial"/>
        </w:rPr>
      </w:pPr>
      <w:r>
        <w:rPr>
          <w:rFonts w:ascii="Arial" w:hAnsi="Arial" w:cs="Arial"/>
        </w:rPr>
        <w:t>June</w:t>
      </w:r>
      <w:r w:rsidR="00971A46">
        <w:rPr>
          <w:rFonts w:ascii="Arial" w:hAnsi="Arial" w:cs="Arial"/>
        </w:rPr>
        <w:t xml:space="preserve"> </w:t>
      </w:r>
      <w:r w:rsidR="007E476D">
        <w:rPr>
          <w:rFonts w:ascii="Arial" w:hAnsi="Arial" w:cs="Arial"/>
        </w:rPr>
        <w:t>20</w:t>
      </w:r>
      <w:r w:rsidR="008872F3">
        <w:rPr>
          <w:rFonts w:ascii="Arial" w:hAnsi="Arial" w:cs="Arial"/>
        </w:rPr>
        <w:t>20</w:t>
      </w:r>
      <w:r w:rsidR="00A8578D">
        <w:rPr>
          <w:rFonts w:ascii="Arial" w:hAnsi="Arial" w:cs="Arial"/>
        </w:rPr>
        <w:t xml:space="preserve"> </w:t>
      </w:r>
      <w:r w:rsidR="00400B5C" w:rsidRPr="00A8578D">
        <w:rPr>
          <w:rFonts w:ascii="Arial" w:hAnsi="Arial" w:cs="Arial"/>
        </w:rPr>
        <w:t xml:space="preserve">Council </w:t>
      </w:r>
      <w:r w:rsidR="00B13EA3" w:rsidRPr="00A8578D">
        <w:rPr>
          <w:rFonts w:ascii="Arial" w:hAnsi="Arial" w:cs="Arial"/>
        </w:rPr>
        <w:t>M</w:t>
      </w:r>
      <w:r w:rsidR="00400B5C" w:rsidRPr="00A8578D">
        <w:rPr>
          <w:rFonts w:ascii="Arial" w:hAnsi="Arial" w:cs="Arial"/>
        </w:rPr>
        <w:t>eeting</w:t>
      </w:r>
    </w:p>
    <w:p w14:paraId="760E0CBB" w14:textId="77777777" w:rsidR="00B13EA3" w:rsidRPr="00A8578D" w:rsidRDefault="00B13EA3" w:rsidP="00153470">
      <w:pPr>
        <w:jc w:val="center"/>
        <w:rPr>
          <w:rFonts w:ascii="Arial" w:hAnsi="Arial" w:cs="Arial"/>
          <w:sz w:val="24"/>
          <w:szCs w:val="24"/>
        </w:rPr>
      </w:pPr>
    </w:p>
    <w:p w14:paraId="140B4824" w14:textId="77777777" w:rsidR="00B13EA3" w:rsidRPr="00A8578D" w:rsidRDefault="00B13EA3" w:rsidP="00153470">
      <w:pPr>
        <w:jc w:val="center"/>
        <w:rPr>
          <w:rFonts w:ascii="Arial" w:hAnsi="Arial" w:cs="Arial"/>
          <w:b/>
          <w:sz w:val="24"/>
          <w:szCs w:val="24"/>
        </w:rPr>
      </w:pPr>
      <w:r w:rsidRPr="00A8578D">
        <w:rPr>
          <w:rFonts w:ascii="Arial" w:hAnsi="Arial" w:cs="Arial"/>
          <w:b/>
          <w:sz w:val="24"/>
          <w:szCs w:val="24"/>
        </w:rPr>
        <w:t>Action Memo</w:t>
      </w:r>
    </w:p>
    <w:p w14:paraId="0FDB3744" w14:textId="6067F379" w:rsidR="00E52071" w:rsidRPr="00A8578D" w:rsidRDefault="0096374D" w:rsidP="00D64F70">
      <w:pPr>
        <w:spacing w:before="360" w:line="360" w:lineRule="auto"/>
        <w:rPr>
          <w:rFonts w:ascii="Arial" w:hAnsi="Arial" w:cs="Arial"/>
        </w:rPr>
      </w:pPr>
      <w:r>
        <w:rPr>
          <w:rFonts w:ascii="Arial" w:hAnsi="Arial" w:cs="Arial"/>
        </w:rPr>
        <w:t xml:space="preserve">Council </w:t>
      </w:r>
      <w:r w:rsidR="00E52071" w:rsidRPr="00A8578D">
        <w:rPr>
          <w:rFonts w:ascii="Arial" w:hAnsi="Arial" w:cs="Arial"/>
        </w:rPr>
        <w:t xml:space="preserve">Staff: </w:t>
      </w:r>
      <w:r w:rsidR="00E52071" w:rsidRPr="00A8578D">
        <w:rPr>
          <w:rFonts w:ascii="Arial" w:hAnsi="Arial" w:cs="Arial"/>
        </w:rPr>
        <w:tab/>
      </w:r>
      <w:r w:rsidR="00E52071" w:rsidRPr="00A8578D">
        <w:rPr>
          <w:rFonts w:ascii="Arial" w:hAnsi="Arial" w:cs="Arial"/>
        </w:rPr>
        <w:tab/>
      </w:r>
      <w:r w:rsidR="007E476D">
        <w:rPr>
          <w:rFonts w:ascii="Arial" w:hAnsi="Arial" w:cs="Arial"/>
        </w:rPr>
        <w:t>D</w:t>
      </w:r>
      <w:r w:rsidR="00CA0A1D">
        <w:rPr>
          <w:rFonts w:ascii="Arial" w:hAnsi="Arial" w:cs="Arial"/>
        </w:rPr>
        <w:t>avid Witherell, D</w:t>
      </w:r>
      <w:r w:rsidR="007E476D">
        <w:rPr>
          <w:rFonts w:ascii="Arial" w:hAnsi="Arial" w:cs="Arial"/>
        </w:rPr>
        <w:t>iana Evans</w:t>
      </w:r>
    </w:p>
    <w:p w14:paraId="2D79C7ED" w14:textId="34106149" w:rsidR="007E476D" w:rsidRDefault="00E52071" w:rsidP="001C464A">
      <w:pPr>
        <w:tabs>
          <w:tab w:val="left" w:pos="2160"/>
          <w:tab w:val="left" w:pos="2520"/>
        </w:tabs>
        <w:spacing w:after="60"/>
        <w:rPr>
          <w:rFonts w:ascii="Arial" w:hAnsi="Arial" w:cs="Arial"/>
        </w:rPr>
      </w:pPr>
      <w:r w:rsidRPr="00A8578D">
        <w:rPr>
          <w:rFonts w:ascii="Arial" w:hAnsi="Arial" w:cs="Arial"/>
        </w:rPr>
        <w:t>Action Required:</w:t>
      </w:r>
      <w:r w:rsidRPr="00A8578D">
        <w:rPr>
          <w:rFonts w:ascii="Arial" w:hAnsi="Arial" w:cs="Arial"/>
        </w:rPr>
        <w:tab/>
        <w:t xml:space="preserve">1. </w:t>
      </w:r>
      <w:r w:rsidR="007E476D">
        <w:rPr>
          <w:rFonts w:ascii="Arial" w:hAnsi="Arial" w:cs="Arial"/>
        </w:rPr>
        <w:tab/>
        <w:t>Review Committees</w:t>
      </w:r>
      <w:r w:rsidR="00BA448B">
        <w:rPr>
          <w:rFonts w:ascii="Arial" w:hAnsi="Arial" w:cs="Arial"/>
        </w:rPr>
        <w:t xml:space="preserve"> </w:t>
      </w:r>
      <w:r w:rsidR="009D76A4">
        <w:rPr>
          <w:rFonts w:ascii="Arial" w:hAnsi="Arial" w:cs="Arial"/>
        </w:rPr>
        <w:t>and Plan Teams</w:t>
      </w:r>
    </w:p>
    <w:p w14:paraId="28E02A62" w14:textId="3DBA7DCD" w:rsidR="00533A44" w:rsidRPr="00A8578D" w:rsidRDefault="00533A44" w:rsidP="007F693E">
      <w:pPr>
        <w:spacing w:after="60"/>
        <w:ind w:left="2520" w:hanging="360"/>
        <w:rPr>
          <w:rFonts w:ascii="Arial" w:hAnsi="Arial" w:cs="Arial"/>
        </w:rPr>
      </w:pPr>
      <w:r>
        <w:rPr>
          <w:rFonts w:ascii="Arial" w:hAnsi="Arial" w:cs="Arial"/>
        </w:rPr>
        <w:t>2</w:t>
      </w:r>
      <w:r w:rsidR="007E476D">
        <w:rPr>
          <w:rFonts w:ascii="Arial" w:hAnsi="Arial" w:cs="Arial"/>
        </w:rPr>
        <w:t>.</w:t>
      </w:r>
      <w:r w:rsidR="007E476D">
        <w:rPr>
          <w:rFonts w:ascii="Arial" w:hAnsi="Arial" w:cs="Arial"/>
        </w:rPr>
        <w:tab/>
        <w:t xml:space="preserve">Provide direction on tasking </w:t>
      </w:r>
      <w:r w:rsidR="009D76A4">
        <w:rPr>
          <w:rFonts w:ascii="Arial" w:hAnsi="Arial" w:cs="Arial"/>
        </w:rPr>
        <w:t xml:space="preserve">priorities </w:t>
      </w:r>
      <w:r w:rsidR="007E476D">
        <w:rPr>
          <w:rFonts w:ascii="Arial" w:hAnsi="Arial" w:cs="Arial"/>
        </w:rPr>
        <w:t>and scheduling</w:t>
      </w:r>
    </w:p>
    <w:p w14:paraId="6BBA9811" w14:textId="118128EF" w:rsidR="00E52071" w:rsidRDefault="00B13EA3" w:rsidP="00555918">
      <w:pPr>
        <w:pStyle w:val="Heading1"/>
      </w:pPr>
      <w:r w:rsidRPr="00C633C0">
        <w:t xml:space="preserve">BACKGROUND </w:t>
      </w:r>
    </w:p>
    <w:p w14:paraId="230C0961" w14:textId="48C010F9" w:rsidR="007E476D" w:rsidRDefault="007E476D" w:rsidP="00555918">
      <w:pPr>
        <w:pStyle w:val="Heading1"/>
      </w:pPr>
      <w:r>
        <w:t>Committees</w:t>
      </w:r>
      <w:r w:rsidR="007C7D4D">
        <w:t xml:space="preserve"> </w:t>
      </w:r>
      <w:r w:rsidR="009D76A4">
        <w:t>and Plan Teams</w:t>
      </w:r>
    </w:p>
    <w:p w14:paraId="2013B8DD" w14:textId="77777777" w:rsidR="004F65C3" w:rsidRDefault="004F65C3" w:rsidP="004F65C3">
      <w:pPr>
        <w:pStyle w:val="Heading3"/>
      </w:pPr>
      <w:r>
        <w:t>Membership</w:t>
      </w:r>
    </w:p>
    <w:p w14:paraId="2C9E5D43" w14:textId="38D009C6" w:rsidR="007E476D" w:rsidRDefault="007E476D" w:rsidP="00992574">
      <w:pPr>
        <w:spacing w:after="120"/>
      </w:pPr>
      <w:r w:rsidRPr="001F1D54">
        <w:t xml:space="preserve">Attached </w:t>
      </w:r>
      <w:r>
        <w:t xml:space="preserve">is </w:t>
      </w:r>
      <w:r w:rsidRPr="001F1D54">
        <w:t xml:space="preserve">the updated </w:t>
      </w:r>
      <w:r>
        <w:t xml:space="preserve">Council </w:t>
      </w:r>
      <w:r w:rsidRPr="001F1D54">
        <w:t>committee</w:t>
      </w:r>
      <w:r>
        <w:t xml:space="preserve"> list reflecting </w:t>
      </w:r>
      <w:r w:rsidR="009D76A4">
        <w:t>changes since February 2</w:t>
      </w:r>
      <w:r>
        <w:t>0</w:t>
      </w:r>
      <w:r w:rsidR="009D76A4">
        <w:t>20</w:t>
      </w:r>
      <w:r>
        <w:t xml:space="preserve">. </w:t>
      </w:r>
    </w:p>
    <w:p w14:paraId="58B786D7" w14:textId="064D96FF" w:rsidR="009D76A4" w:rsidRDefault="007F693E" w:rsidP="00992574">
      <w:pPr>
        <w:spacing w:after="120"/>
      </w:pPr>
      <w:r>
        <w:t>As described in the B1 Executive Director’s Report, t</w:t>
      </w:r>
      <w:r w:rsidR="009D76A4">
        <w:t xml:space="preserve">he Council has received three </w:t>
      </w:r>
      <w:r w:rsidR="009D76A4" w:rsidRPr="009D76A4">
        <w:rPr>
          <w:b/>
          <w:bCs/>
        </w:rPr>
        <w:t>nominations for Plan Team members</w:t>
      </w:r>
      <w:r w:rsidR="00E9746E" w:rsidRPr="00F579EC">
        <w:t>:</w:t>
      </w:r>
      <w:r w:rsidR="009D76A4" w:rsidRPr="00F579EC">
        <w:t xml:space="preserve"> </w:t>
      </w:r>
      <w:r w:rsidR="009D76A4">
        <w:t>one for the BSAI Crab Plan Team and two for the Social Science Planning Team, all replacing members who have left the Teams</w:t>
      </w:r>
      <w:r>
        <w:t>.</w:t>
      </w:r>
      <w:r w:rsidR="009D76A4">
        <w:t xml:space="preserve"> The Council will discuss the nominations in Executive Session, and the Council Chair will announce a decision at the end of the meeting. </w:t>
      </w:r>
    </w:p>
    <w:p w14:paraId="0F35D1D5" w14:textId="0D854A50" w:rsidR="00460244" w:rsidRDefault="00460244" w:rsidP="00460244">
      <w:pPr>
        <w:pStyle w:val="Heading3"/>
      </w:pPr>
      <w:r>
        <w:t>Meeting status</w:t>
      </w:r>
    </w:p>
    <w:p w14:paraId="3F15F123" w14:textId="5B694DD9" w:rsidR="00FE192D" w:rsidRDefault="00FE192D" w:rsidP="00992574">
      <w:pPr>
        <w:spacing w:after="60"/>
      </w:pPr>
      <w:r>
        <w:t xml:space="preserve">At this point, </w:t>
      </w:r>
      <w:r w:rsidR="007D3DF6">
        <w:t xml:space="preserve">there are no Council advisory groups that have yet been scheduled to meet over the summer. The </w:t>
      </w:r>
      <w:r>
        <w:t xml:space="preserve">three </w:t>
      </w:r>
      <w:r w:rsidR="007D3DF6">
        <w:t xml:space="preserve">groups with planned meetings before the </w:t>
      </w:r>
      <w:r w:rsidR="004F65C3">
        <w:t>October</w:t>
      </w:r>
      <w:r w:rsidR="007D3DF6">
        <w:t xml:space="preserve"> Council meeting are all</w:t>
      </w:r>
      <w:r>
        <w:t xml:space="preserve"> scheduled </w:t>
      </w:r>
      <w:r w:rsidR="007D3DF6">
        <w:t>for</w:t>
      </w:r>
      <w:r>
        <w:t xml:space="preserve"> </w:t>
      </w:r>
      <w:r w:rsidRPr="004F65C3">
        <w:rPr>
          <w:b/>
          <w:bCs/>
        </w:rPr>
        <w:t>September</w:t>
      </w:r>
      <w:r w:rsidR="007D3DF6" w:rsidRPr="004F65C3">
        <w:rPr>
          <w:b/>
          <w:bCs/>
        </w:rPr>
        <w:t xml:space="preserve"> 2020</w:t>
      </w:r>
      <w:r w:rsidR="007D3DF6">
        <w:t>:</w:t>
      </w:r>
    </w:p>
    <w:p w14:paraId="7326985F" w14:textId="11092BA4" w:rsidR="00FE192D" w:rsidRDefault="00FE192D" w:rsidP="00FE192D">
      <w:pPr>
        <w:pStyle w:val="ListParagraph"/>
        <w:numPr>
          <w:ilvl w:val="0"/>
          <w:numId w:val="23"/>
        </w:numPr>
      </w:pPr>
      <w:r w:rsidRPr="00BA6ABC">
        <w:rPr>
          <w:b/>
          <w:bCs/>
        </w:rPr>
        <w:t>BSAI and GOA Groundfish Plan Teams</w:t>
      </w:r>
      <w:r>
        <w:t xml:space="preserve"> – review stock assessment models and recommend proposed harvest specifications </w:t>
      </w:r>
    </w:p>
    <w:p w14:paraId="767B7B2B" w14:textId="32104655" w:rsidR="00FE192D" w:rsidRDefault="00FE192D" w:rsidP="00FE192D">
      <w:pPr>
        <w:pStyle w:val="ListParagraph"/>
        <w:numPr>
          <w:ilvl w:val="0"/>
          <w:numId w:val="23"/>
        </w:numPr>
      </w:pPr>
      <w:r w:rsidRPr="00BA6ABC">
        <w:rPr>
          <w:b/>
          <w:bCs/>
        </w:rPr>
        <w:t>BSAI Crab Plan Team</w:t>
      </w:r>
      <w:r>
        <w:t xml:space="preserve"> – review stock assessments and recommend harvest specifications</w:t>
      </w:r>
    </w:p>
    <w:p w14:paraId="4D809B74" w14:textId="130A8F86" w:rsidR="00FE192D" w:rsidRDefault="00FE192D" w:rsidP="00FE192D">
      <w:pPr>
        <w:pStyle w:val="ListParagraph"/>
        <w:numPr>
          <w:ilvl w:val="0"/>
          <w:numId w:val="23"/>
        </w:numPr>
      </w:pPr>
      <w:r w:rsidRPr="00BA6ABC">
        <w:rPr>
          <w:b/>
          <w:bCs/>
        </w:rPr>
        <w:t>Partial Coverage Fishery Monitoring Advisory Committee</w:t>
      </w:r>
      <w:r>
        <w:t xml:space="preserve"> – review 2021 Annual Deployment Plan</w:t>
      </w:r>
      <w:r w:rsidR="006D2C4E">
        <w:t xml:space="preserve"> and potentially the 2019 Observer Annual Report</w:t>
      </w:r>
      <w:r>
        <w:t xml:space="preserve">. </w:t>
      </w:r>
    </w:p>
    <w:p w14:paraId="7C2C4FFB" w14:textId="4F8C2022" w:rsidR="00FE192D" w:rsidRPr="00FE192D" w:rsidRDefault="007D3DF6" w:rsidP="00992574">
      <w:pPr>
        <w:spacing w:before="120" w:after="60"/>
      </w:pPr>
      <w:r>
        <w:t>However, s</w:t>
      </w:r>
      <w:r w:rsidR="00FE192D">
        <w:t>everal committee meetings were postponed over the course of the spring</w:t>
      </w:r>
      <w:r>
        <w:t>, in response to travel restrictions and changes to the Council’s April and June agendas. The following Committees could</w:t>
      </w:r>
      <w:r w:rsidR="00FE192D">
        <w:t xml:space="preserve"> </w:t>
      </w:r>
      <w:r w:rsidR="00992574">
        <w:t>be rescheduled for the summer</w:t>
      </w:r>
      <w:r w:rsidR="002B1A23">
        <w:t xml:space="preserve"> </w:t>
      </w:r>
      <w:r w:rsidR="00192B72">
        <w:t xml:space="preserve">or early fall </w:t>
      </w:r>
      <w:r w:rsidR="002B1A23">
        <w:t>as in-person or virtual</w:t>
      </w:r>
      <w:r>
        <w:t>, depending on</w:t>
      </w:r>
      <w:r w:rsidR="00FE192D">
        <w:t xml:space="preserve"> how the Council prioritizes agenda items</w:t>
      </w:r>
      <w:r>
        <w:t>:</w:t>
      </w:r>
    </w:p>
    <w:p w14:paraId="690F713D" w14:textId="5C0D6BBC" w:rsidR="00FE192D" w:rsidRDefault="00FE192D" w:rsidP="00460244">
      <w:pPr>
        <w:pStyle w:val="ListParagraph"/>
        <w:numPr>
          <w:ilvl w:val="0"/>
          <w:numId w:val="22"/>
        </w:numPr>
        <w:spacing w:after="160"/>
      </w:pPr>
      <w:r w:rsidRPr="00FE192D">
        <w:rPr>
          <w:b/>
          <w:bCs/>
        </w:rPr>
        <w:t>Community Engagement Committee</w:t>
      </w:r>
      <w:r>
        <w:t xml:space="preserve"> –</w:t>
      </w:r>
      <w:r w:rsidR="007D3DF6">
        <w:t xml:space="preserve"> </w:t>
      </w:r>
      <w:r>
        <w:t xml:space="preserve">to finalize </w:t>
      </w:r>
      <w:r w:rsidR="00F20E8C">
        <w:t xml:space="preserve">their report with </w:t>
      </w:r>
      <w:r>
        <w:t>recommendations for improving community engagement</w:t>
      </w:r>
    </w:p>
    <w:p w14:paraId="7F103221" w14:textId="57D8F716" w:rsidR="004F65C3" w:rsidRDefault="004F65C3" w:rsidP="004F65C3">
      <w:pPr>
        <w:pStyle w:val="ListParagraph"/>
        <w:numPr>
          <w:ilvl w:val="0"/>
          <w:numId w:val="22"/>
        </w:numPr>
        <w:spacing w:after="160"/>
      </w:pPr>
      <w:r>
        <w:rPr>
          <w:b/>
          <w:bCs/>
        </w:rPr>
        <w:t>Ecosystem Committee</w:t>
      </w:r>
      <w:r>
        <w:t xml:space="preserve"> </w:t>
      </w:r>
      <w:r>
        <w:rPr>
          <w:b/>
          <w:bCs/>
        </w:rPr>
        <w:t xml:space="preserve">– </w:t>
      </w:r>
      <w:r>
        <w:t xml:space="preserve">to review progress with the Bering Sea Fishery Ecosystem Plan and </w:t>
      </w:r>
      <w:r w:rsidR="00F20E8C">
        <w:t>action modules</w:t>
      </w:r>
      <w:r>
        <w:t>, the EFH 5-year review workplan</w:t>
      </w:r>
      <w:r w:rsidR="006D2C4E">
        <w:t>, results from the recent Deep Sea Coral workshop, and potentially</w:t>
      </w:r>
      <w:r>
        <w:t xml:space="preserve"> hear from northern fur seal co-managers. </w:t>
      </w:r>
    </w:p>
    <w:p w14:paraId="1E491DBE" w14:textId="21B95EAD" w:rsidR="007D3DF6" w:rsidRDefault="00FE192D" w:rsidP="00460244">
      <w:pPr>
        <w:pStyle w:val="ListParagraph"/>
        <w:numPr>
          <w:ilvl w:val="0"/>
          <w:numId w:val="22"/>
        </w:numPr>
        <w:spacing w:after="160"/>
      </w:pPr>
      <w:r w:rsidRPr="007D3DF6">
        <w:rPr>
          <w:b/>
          <w:bCs/>
        </w:rPr>
        <w:t>EM Trawl Committee</w:t>
      </w:r>
      <w:r>
        <w:t xml:space="preserve"> – </w:t>
      </w:r>
      <w:r w:rsidR="007D3DF6">
        <w:t xml:space="preserve">to </w:t>
      </w:r>
      <w:r w:rsidR="009C73E5">
        <w:t>review</w:t>
      </w:r>
      <w:r w:rsidR="007D3DF6">
        <w:t xml:space="preserve"> </w:t>
      </w:r>
      <w:r w:rsidR="009C73E5">
        <w:t>results from</w:t>
      </w:r>
      <w:r w:rsidR="007D3DF6">
        <w:t xml:space="preserve"> the BSAI and GOA pollock EM Exempted Fishing Permit, and continue develop</w:t>
      </w:r>
      <w:r w:rsidR="009C73E5">
        <w:t>ing</w:t>
      </w:r>
      <w:r w:rsidR="007D3DF6">
        <w:t xml:space="preserve"> an EM </w:t>
      </w:r>
      <w:r w:rsidR="009C73E5">
        <w:t>regulatory program</w:t>
      </w:r>
      <w:r w:rsidR="007D3DF6">
        <w:t xml:space="preserve"> for pollock trawl fisheries</w:t>
      </w:r>
    </w:p>
    <w:p w14:paraId="64AB6224" w14:textId="77777777" w:rsidR="00192B72" w:rsidRDefault="00192B72" w:rsidP="00192B72">
      <w:pPr>
        <w:pStyle w:val="ListParagraph"/>
        <w:numPr>
          <w:ilvl w:val="0"/>
          <w:numId w:val="22"/>
        </w:numPr>
        <w:spacing w:after="160"/>
      </w:pPr>
      <w:r w:rsidRPr="00FE192D">
        <w:rPr>
          <w:b/>
          <w:bCs/>
        </w:rPr>
        <w:lastRenderedPageBreak/>
        <w:t>IFQ Committee</w:t>
      </w:r>
      <w:r>
        <w:t xml:space="preserve"> – to review the IFQ access opportunities expanded discussion paper, the GOA sablefish pots 3-year review, and potentially the NMFS cost recovery report</w:t>
      </w:r>
    </w:p>
    <w:p w14:paraId="505056AE" w14:textId="4D594DD5" w:rsidR="004F65C3" w:rsidRDefault="00C902FE" w:rsidP="007D3DF6">
      <w:pPr>
        <w:spacing w:after="160"/>
      </w:pPr>
      <w:r>
        <w:t xml:space="preserve">Additionally, the Bering Sea Fishery Ecosystem Plan Taskforces on Climate Change and Local Knowledge/Traditional Knowledge/Subsistence Impacts will continue </w:t>
      </w:r>
      <w:r w:rsidR="00B004CA">
        <w:t xml:space="preserve">their </w:t>
      </w:r>
      <w:r w:rsidR="007A142A">
        <w:t xml:space="preserve">work </w:t>
      </w:r>
      <w:r>
        <w:t xml:space="preserve">over the summer, and may schedule virtual meetings to support their </w:t>
      </w:r>
      <w:r w:rsidR="00B004CA">
        <w:t>progress</w:t>
      </w:r>
      <w:r>
        <w:t>.</w:t>
      </w:r>
      <w:r w:rsidR="006D2C4E">
        <w:t xml:space="preserve"> Updates on the Taskforces </w:t>
      </w:r>
      <w:r w:rsidR="00D5365D">
        <w:t>are linked from</w:t>
      </w:r>
      <w:r w:rsidR="006D2C4E">
        <w:t xml:space="preserve"> the Council</w:t>
      </w:r>
      <w:r w:rsidR="00192B72">
        <w:t>’s</w:t>
      </w:r>
      <w:r w:rsidR="006D2C4E">
        <w:t xml:space="preserve"> </w:t>
      </w:r>
      <w:r w:rsidR="00D5365D">
        <w:t xml:space="preserve">BS </w:t>
      </w:r>
      <w:r w:rsidR="006D2C4E">
        <w:t>FEP webpage (</w:t>
      </w:r>
      <w:hyperlink r:id="rId8" w:history="1">
        <w:r w:rsidR="006D2C4E" w:rsidRPr="008833FE">
          <w:rPr>
            <w:rStyle w:val="Hyperlink"/>
          </w:rPr>
          <w:t>https://www.npfmc.org/bsfep/</w:t>
        </w:r>
      </w:hyperlink>
      <w:r w:rsidR="006D2C4E">
        <w:t xml:space="preserve">). </w:t>
      </w:r>
    </w:p>
    <w:p w14:paraId="3556C2E1" w14:textId="2B6015D3" w:rsidR="00460244" w:rsidRDefault="00460244" w:rsidP="00460244">
      <w:pPr>
        <w:pStyle w:val="Heading3"/>
      </w:pPr>
      <w:r>
        <w:t>EDR workshop planning</w:t>
      </w:r>
    </w:p>
    <w:p w14:paraId="2032009E" w14:textId="3F6E6963" w:rsidR="004F65C3" w:rsidRPr="004F65C3" w:rsidRDefault="004F65C3" w:rsidP="004F65C3">
      <w:r>
        <w:t xml:space="preserve">The Council tasked staff and the Social Science Planning Team to host a workshop on potential revisions to the Council’s economic data report (EDR) requirements. </w:t>
      </w:r>
      <w:r w:rsidR="008726B0">
        <w:t xml:space="preserve">Given the difficulty in planning an in-person meeting under the current pandemic-related travel restrictions, staff have opted to hold a series of virtual discussions with stakeholders </w:t>
      </w:r>
      <w:r w:rsidR="007F693E">
        <w:t>of</w:t>
      </w:r>
      <w:r w:rsidR="008726B0">
        <w:t xml:space="preserve"> each of the four fisheries with existing EDR programs. The dates are not yet determined, but will be announced on the Council’s website once planned. An </w:t>
      </w:r>
      <w:r w:rsidR="008726B0" w:rsidRPr="008E3BD5">
        <w:t>attachment</w:t>
      </w:r>
      <w:r w:rsidR="008726B0">
        <w:t xml:space="preserve"> to this agenda item provides more details about the objectives and logistics for these planned discussions. </w:t>
      </w:r>
      <w:r w:rsidR="00C902FE">
        <w:t xml:space="preserve">The SSPT </w:t>
      </w:r>
      <w:r w:rsidR="00DB7D77">
        <w:t>will</w:t>
      </w:r>
      <w:r w:rsidR="00C902FE">
        <w:t xml:space="preserve"> convene after the workshops to </w:t>
      </w:r>
      <w:r w:rsidR="00DB7D77">
        <w:t>develop</w:t>
      </w:r>
      <w:r w:rsidR="00C902FE">
        <w:t xml:space="preserve"> recommendations</w:t>
      </w:r>
      <w:r w:rsidR="00DB7D77">
        <w:t>, but likely not before November</w:t>
      </w:r>
      <w:r w:rsidR="00C902FE">
        <w:t xml:space="preserve">. </w:t>
      </w:r>
    </w:p>
    <w:p w14:paraId="5C8EBD72" w14:textId="77777777" w:rsidR="008726B0" w:rsidRPr="00555918" w:rsidRDefault="008726B0" w:rsidP="00555918">
      <w:pPr>
        <w:pStyle w:val="Heading1"/>
      </w:pPr>
      <w:r w:rsidRPr="00555918">
        <w:t>Tasking and Scheduling</w:t>
      </w:r>
    </w:p>
    <w:p w14:paraId="264A2186" w14:textId="35D6CE88" w:rsidR="008726B0" w:rsidRDefault="008726B0" w:rsidP="008726B0">
      <w:pPr>
        <w:spacing w:after="60"/>
      </w:pPr>
      <w:r>
        <w:t xml:space="preserve">Given the canceled April meeting and curtailed June agenda, it is especially important for the </w:t>
      </w:r>
      <w:r w:rsidRPr="00654D3E">
        <w:t xml:space="preserve">Council </w:t>
      </w:r>
      <w:r>
        <w:t xml:space="preserve">to provide input on the relative </w:t>
      </w:r>
      <w:r w:rsidRPr="00654D3E">
        <w:t>priorit</w:t>
      </w:r>
      <w:r>
        <w:t>ies</w:t>
      </w:r>
      <w:r w:rsidRPr="00654D3E">
        <w:t xml:space="preserve"> for ongoing </w:t>
      </w:r>
      <w:r>
        <w:t>(and any new) work</w:t>
      </w:r>
      <w:r w:rsidRPr="00654D3E">
        <w:t xml:space="preserve">, </w:t>
      </w:r>
      <w:r>
        <w:t xml:space="preserve">including how we reschedule items that were originally intended for review at the April and June Council meetings. This section includes several discussion elements to assist with that consideration, including: 1) an update on the allocation review schedule </w:t>
      </w:r>
      <w:r w:rsidR="007F693E">
        <w:t>as</w:t>
      </w:r>
      <w:r>
        <w:t xml:space="preserve"> requested by the Council in February; 2) a review of tasking documents, including the three-meeting outlook; </w:t>
      </w:r>
      <w:r w:rsidR="004A2CBC">
        <w:t xml:space="preserve">and 3) a discussion of potential constraints for scheduling </w:t>
      </w:r>
      <w:r w:rsidR="007F693E">
        <w:t xml:space="preserve">Council and other </w:t>
      </w:r>
      <w:r w:rsidR="004A2CBC">
        <w:t xml:space="preserve">meetings </w:t>
      </w:r>
      <w:r w:rsidR="007F693E">
        <w:t>for the remainder of</w:t>
      </w:r>
      <w:r w:rsidR="004A2CBC">
        <w:t xml:space="preserve"> the year.</w:t>
      </w:r>
    </w:p>
    <w:p w14:paraId="1C5869DC" w14:textId="77777777" w:rsidR="00E9746E" w:rsidRPr="001E0DC5" w:rsidRDefault="00E9746E" w:rsidP="008F2D10">
      <w:pPr>
        <w:pStyle w:val="Heading3"/>
      </w:pPr>
      <w:r w:rsidRPr="001E0DC5">
        <w:t xml:space="preserve">Allocation Review </w:t>
      </w:r>
      <w:r w:rsidRPr="00992574">
        <w:t>Schedule</w:t>
      </w:r>
    </w:p>
    <w:p w14:paraId="06E1CD41" w14:textId="5816A5FD" w:rsidR="00E9746E" w:rsidRDefault="00E9746E" w:rsidP="00E9746E">
      <w:r w:rsidRPr="002C7930">
        <w:t xml:space="preserve">In </w:t>
      </w:r>
      <w:r>
        <w:t>January,</w:t>
      </w:r>
      <w:r w:rsidRPr="002C7930">
        <w:t xml:space="preserve"> </w:t>
      </w:r>
      <w:r>
        <w:t xml:space="preserve">the Council raised concerns about scheduling the GOA Pacific cod allocation review, which is currently scheduled for 2020. A review of the schedule indicates that the Council could delay the allocation review until as late as 2022 without violating its 10-year allocation review policy or the NMFS allocation policy directive. </w:t>
      </w:r>
    </w:p>
    <w:p w14:paraId="1F8BF029" w14:textId="77777777" w:rsidR="00E9746E" w:rsidRPr="00EC0E26" w:rsidRDefault="00E9746E" w:rsidP="00E9746E"/>
    <w:tbl>
      <w:tblPr>
        <w:tblW w:w="9236" w:type="dxa"/>
        <w:jc w:val="center"/>
        <w:tblLook w:val="04A0" w:firstRow="1" w:lastRow="0" w:firstColumn="1" w:lastColumn="0" w:noHBand="0" w:noVBand="1"/>
      </w:tblPr>
      <w:tblGrid>
        <w:gridCol w:w="3325"/>
        <w:gridCol w:w="397"/>
        <w:gridCol w:w="3067"/>
        <w:gridCol w:w="2447"/>
      </w:tblGrid>
      <w:tr w:rsidR="00E9746E" w:rsidRPr="00EC0E26" w14:paraId="2CC9BBB9" w14:textId="77777777" w:rsidTr="0081358C">
        <w:trPr>
          <w:trHeight w:val="286"/>
          <w:jc w:val="center"/>
        </w:trPr>
        <w:tc>
          <w:tcPr>
            <w:tcW w:w="3325" w:type="dxa"/>
            <w:tcBorders>
              <w:top w:val="single" w:sz="8" w:space="0" w:color="auto"/>
              <w:left w:val="single" w:sz="8" w:space="0" w:color="auto"/>
              <w:bottom w:val="single" w:sz="8" w:space="0" w:color="auto"/>
              <w:right w:val="nil"/>
            </w:tcBorders>
            <w:shd w:val="clear" w:color="auto" w:fill="BDD6EE" w:themeFill="accent5" w:themeFillTint="66"/>
            <w:vAlign w:val="center"/>
            <w:hideMark/>
          </w:tcPr>
          <w:p w14:paraId="56891B8D" w14:textId="77777777" w:rsidR="00E9746E" w:rsidRPr="00F32AFF" w:rsidRDefault="00E9746E" w:rsidP="008657D3">
            <w:pPr>
              <w:keepNext/>
              <w:jc w:val="center"/>
              <w:rPr>
                <w:rFonts w:asciiTheme="minorHAnsi" w:hAnsiTheme="minorHAnsi" w:cstheme="minorHAnsi"/>
                <w:b/>
                <w:bCs/>
                <w:sz w:val="20"/>
                <w:szCs w:val="20"/>
              </w:rPr>
            </w:pPr>
            <w:r w:rsidRPr="00F32AFF">
              <w:rPr>
                <w:rFonts w:asciiTheme="minorHAnsi" w:hAnsiTheme="minorHAnsi" w:cstheme="minorHAnsi"/>
                <w:b/>
                <w:bCs/>
                <w:sz w:val="20"/>
                <w:szCs w:val="20"/>
              </w:rPr>
              <w:t>Allocation</w:t>
            </w:r>
          </w:p>
        </w:tc>
        <w:tc>
          <w:tcPr>
            <w:tcW w:w="397" w:type="dxa"/>
            <w:tcBorders>
              <w:top w:val="single" w:sz="8" w:space="0" w:color="auto"/>
              <w:left w:val="nil"/>
              <w:bottom w:val="single" w:sz="8" w:space="0" w:color="auto"/>
              <w:right w:val="nil"/>
            </w:tcBorders>
            <w:shd w:val="clear" w:color="auto" w:fill="BDD6EE" w:themeFill="accent5" w:themeFillTint="66"/>
            <w:vAlign w:val="center"/>
            <w:hideMark/>
          </w:tcPr>
          <w:p w14:paraId="64F2D513" w14:textId="77777777" w:rsidR="00E9746E" w:rsidRPr="00F32AFF" w:rsidRDefault="00E9746E" w:rsidP="008657D3">
            <w:pPr>
              <w:keepNext/>
              <w:jc w:val="center"/>
              <w:rPr>
                <w:rFonts w:asciiTheme="minorHAnsi" w:hAnsiTheme="minorHAnsi" w:cstheme="minorHAnsi"/>
                <w:b/>
                <w:bCs/>
                <w:sz w:val="20"/>
                <w:szCs w:val="20"/>
              </w:rPr>
            </w:pPr>
          </w:p>
        </w:tc>
        <w:tc>
          <w:tcPr>
            <w:tcW w:w="3067" w:type="dxa"/>
            <w:tcBorders>
              <w:top w:val="single" w:sz="8" w:space="0" w:color="auto"/>
              <w:left w:val="nil"/>
              <w:bottom w:val="single" w:sz="8" w:space="0" w:color="auto"/>
              <w:right w:val="nil"/>
            </w:tcBorders>
            <w:shd w:val="clear" w:color="auto" w:fill="BDD6EE" w:themeFill="accent5" w:themeFillTint="66"/>
            <w:vAlign w:val="center"/>
            <w:hideMark/>
          </w:tcPr>
          <w:p w14:paraId="52E52679" w14:textId="77777777" w:rsidR="00E9746E" w:rsidRPr="00F32AFF" w:rsidRDefault="00E9746E" w:rsidP="008657D3">
            <w:pPr>
              <w:keepNext/>
              <w:jc w:val="center"/>
              <w:rPr>
                <w:rFonts w:asciiTheme="minorHAnsi" w:hAnsiTheme="minorHAnsi" w:cstheme="minorHAnsi"/>
                <w:b/>
                <w:bCs/>
                <w:sz w:val="20"/>
                <w:szCs w:val="20"/>
              </w:rPr>
            </w:pPr>
            <w:r w:rsidRPr="00F32AFF">
              <w:rPr>
                <w:rFonts w:asciiTheme="minorHAnsi" w:hAnsiTheme="minorHAnsi" w:cstheme="minorHAnsi"/>
                <w:b/>
                <w:bCs/>
                <w:sz w:val="20"/>
                <w:szCs w:val="20"/>
              </w:rPr>
              <w:t>Last Review</w:t>
            </w:r>
          </w:p>
        </w:tc>
        <w:tc>
          <w:tcPr>
            <w:tcW w:w="2447" w:type="dxa"/>
            <w:tcBorders>
              <w:top w:val="single" w:sz="8" w:space="0" w:color="auto"/>
              <w:left w:val="nil"/>
              <w:bottom w:val="single" w:sz="8" w:space="0" w:color="auto"/>
              <w:right w:val="single" w:sz="8" w:space="0" w:color="auto"/>
            </w:tcBorders>
            <w:shd w:val="clear" w:color="auto" w:fill="BDD6EE" w:themeFill="accent5" w:themeFillTint="66"/>
            <w:vAlign w:val="center"/>
            <w:hideMark/>
          </w:tcPr>
          <w:p w14:paraId="3C01D15D" w14:textId="77777777" w:rsidR="00E9746E" w:rsidRPr="00F32AFF" w:rsidRDefault="00E9746E" w:rsidP="008657D3">
            <w:pPr>
              <w:keepNext/>
              <w:jc w:val="center"/>
              <w:rPr>
                <w:rFonts w:asciiTheme="minorHAnsi" w:hAnsiTheme="minorHAnsi" w:cstheme="minorHAnsi"/>
                <w:b/>
                <w:bCs/>
                <w:sz w:val="20"/>
                <w:szCs w:val="20"/>
              </w:rPr>
            </w:pPr>
            <w:r w:rsidRPr="00F32AFF">
              <w:rPr>
                <w:rFonts w:asciiTheme="minorHAnsi" w:hAnsiTheme="minorHAnsi" w:cstheme="minorHAnsi"/>
                <w:b/>
                <w:bCs/>
                <w:sz w:val="20"/>
                <w:szCs w:val="20"/>
              </w:rPr>
              <w:t>Next Scheduled Review</w:t>
            </w:r>
          </w:p>
        </w:tc>
      </w:tr>
      <w:tr w:rsidR="00E9746E" w:rsidRPr="00EC0E26" w14:paraId="72214CC4" w14:textId="77777777" w:rsidTr="008657D3">
        <w:trPr>
          <w:trHeight w:val="168"/>
          <w:jc w:val="center"/>
        </w:trPr>
        <w:tc>
          <w:tcPr>
            <w:tcW w:w="3325" w:type="dxa"/>
            <w:tcBorders>
              <w:top w:val="nil"/>
              <w:left w:val="single" w:sz="8" w:space="0" w:color="auto"/>
              <w:bottom w:val="single" w:sz="4" w:space="0" w:color="auto"/>
              <w:right w:val="nil"/>
            </w:tcBorders>
            <w:shd w:val="clear" w:color="auto" w:fill="auto"/>
            <w:vAlign w:val="center"/>
            <w:hideMark/>
          </w:tcPr>
          <w:p w14:paraId="52336100" w14:textId="77777777" w:rsidR="00E9746E" w:rsidRPr="00F32AFF" w:rsidRDefault="00E9746E" w:rsidP="008657D3">
            <w:pPr>
              <w:keepNext/>
              <w:rPr>
                <w:rFonts w:asciiTheme="minorHAnsi" w:hAnsiTheme="minorHAnsi" w:cstheme="minorHAnsi"/>
                <w:sz w:val="20"/>
                <w:szCs w:val="20"/>
              </w:rPr>
            </w:pPr>
            <w:r w:rsidRPr="00F32AFF">
              <w:rPr>
                <w:rFonts w:asciiTheme="minorHAnsi" w:hAnsiTheme="minorHAnsi" w:cstheme="minorHAnsi"/>
                <w:sz w:val="20"/>
                <w:szCs w:val="20"/>
              </w:rPr>
              <w:t>American Fisheries Act</w:t>
            </w:r>
          </w:p>
        </w:tc>
        <w:tc>
          <w:tcPr>
            <w:tcW w:w="397" w:type="dxa"/>
            <w:tcBorders>
              <w:top w:val="nil"/>
              <w:left w:val="nil"/>
              <w:bottom w:val="single" w:sz="4" w:space="0" w:color="auto"/>
              <w:right w:val="nil"/>
            </w:tcBorders>
            <w:shd w:val="clear" w:color="auto" w:fill="auto"/>
            <w:vAlign w:val="center"/>
            <w:hideMark/>
          </w:tcPr>
          <w:p w14:paraId="181D3111" w14:textId="77777777" w:rsidR="00E9746E" w:rsidRPr="00F32AFF" w:rsidRDefault="00E9746E" w:rsidP="008657D3">
            <w:pPr>
              <w:keepNext/>
              <w:rPr>
                <w:rFonts w:asciiTheme="minorHAnsi" w:hAnsiTheme="minorHAnsi" w:cstheme="minorHAnsi"/>
                <w:b/>
                <w:bCs/>
                <w:sz w:val="20"/>
                <w:szCs w:val="20"/>
              </w:rPr>
            </w:pPr>
            <w:r w:rsidRPr="00F32AFF">
              <w:rPr>
                <w:rFonts w:asciiTheme="minorHAnsi" w:hAnsiTheme="minorHAnsi" w:cstheme="minorHAnsi"/>
                <w:b/>
                <w:bCs/>
                <w:sz w:val="20"/>
                <w:szCs w:val="20"/>
              </w:rPr>
              <w:t> </w:t>
            </w:r>
          </w:p>
        </w:tc>
        <w:tc>
          <w:tcPr>
            <w:tcW w:w="3067" w:type="dxa"/>
            <w:tcBorders>
              <w:top w:val="nil"/>
              <w:left w:val="nil"/>
              <w:bottom w:val="single" w:sz="4" w:space="0" w:color="auto"/>
              <w:right w:val="nil"/>
            </w:tcBorders>
            <w:shd w:val="clear" w:color="auto" w:fill="auto"/>
            <w:noWrap/>
            <w:vAlign w:val="center"/>
          </w:tcPr>
          <w:p w14:paraId="32F01A84" w14:textId="77777777" w:rsidR="00E9746E" w:rsidRPr="00F32AFF" w:rsidRDefault="00E9746E" w:rsidP="008657D3">
            <w:pPr>
              <w:keepNext/>
              <w:jc w:val="center"/>
              <w:rPr>
                <w:rFonts w:asciiTheme="minorHAnsi" w:hAnsiTheme="minorHAnsi" w:cstheme="minorHAnsi"/>
                <w:sz w:val="20"/>
                <w:szCs w:val="20"/>
              </w:rPr>
            </w:pPr>
            <w:r w:rsidRPr="00F32AFF">
              <w:rPr>
                <w:rFonts w:asciiTheme="minorHAnsi" w:hAnsiTheme="minorHAnsi" w:cstheme="minorHAnsi"/>
                <w:sz w:val="20"/>
                <w:szCs w:val="20"/>
              </w:rPr>
              <w:t>2017</w:t>
            </w:r>
          </w:p>
        </w:tc>
        <w:tc>
          <w:tcPr>
            <w:tcW w:w="2447" w:type="dxa"/>
            <w:tcBorders>
              <w:top w:val="nil"/>
              <w:left w:val="nil"/>
              <w:bottom w:val="single" w:sz="4" w:space="0" w:color="auto"/>
              <w:right w:val="single" w:sz="8" w:space="0" w:color="auto"/>
            </w:tcBorders>
            <w:shd w:val="clear" w:color="auto" w:fill="auto"/>
            <w:vAlign w:val="center"/>
          </w:tcPr>
          <w:p w14:paraId="4035FC6A" w14:textId="77777777" w:rsidR="00E9746E" w:rsidRPr="00F32AFF" w:rsidRDefault="00E9746E" w:rsidP="008657D3">
            <w:pPr>
              <w:keepNext/>
              <w:jc w:val="center"/>
              <w:rPr>
                <w:rFonts w:asciiTheme="minorHAnsi" w:hAnsiTheme="minorHAnsi" w:cstheme="minorHAnsi"/>
                <w:sz w:val="20"/>
                <w:szCs w:val="20"/>
              </w:rPr>
            </w:pPr>
            <w:r w:rsidRPr="00F32AFF">
              <w:rPr>
                <w:rFonts w:asciiTheme="minorHAnsi" w:hAnsiTheme="minorHAnsi" w:cstheme="minorHAnsi"/>
                <w:sz w:val="20"/>
                <w:szCs w:val="20"/>
              </w:rPr>
              <w:t>2024</w:t>
            </w:r>
          </w:p>
        </w:tc>
      </w:tr>
      <w:tr w:rsidR="00E9746E" w:rsidRPr="00EC0E26" w14:paraId="731B7F60" w14:textId="77777777" w:rsidTr="008657D3">
        <w:trPr>
          <w:trHeight w:val="168"/>
          <w:jc w:val="center"/>
        </w:trPr>
        <w:tc>
          <w:tcPr>
            <w:tcW w:w="3325" w:type="dxa"/>
            <w:tcBorders>
              <w:top w:val="nil"/>
              <w:left w:val="single" w:sz="8" w:space="0" w:color="auto"/>
              <w:bottom w:val="single" w:sz="4" w:space="0" w:color="auto"/>
              <w:right w:val="nil"/>
            </w:tcBorders>
            <w:shd w:val="clear" w:color="auto" w:fill="auto"/>
            <w:vAlign w:val="center"/>
            <w:hideMark/>
          </w:tcPr>
          <w:p w14:paraId="028AE861" w14:textId="77777777" w:rsidR="00E9746E" w:rsidRPr="00F32AFF" w:rsidRDefault="00E9746E" w:rsidP="008657D3">
            <w:pPr>
              <w:keepNext/>
              <w:rPr>
                <w:rFonts w:asciiTheme="minorHAnsi" w:hAnsiTheme="minorHAnsi" w:cstheme="minorHAnsi"/>
                <w:sz w:val="20"/>
                <w:szCs w:val="20"/>
              </w:rPr>
            </w:pPr>
            <w:r w:rsidRPr="00F32AFF">
              <w:rPr>
                <w:rFonts w:asciiTheme="minorHAnsi" w:hAnsiTheme="minorHAnsi" w:cstheme="minorHAnsi"/>
                <w:sz w:val="20"/>
                <w:szCs w:val="20"/>
              </w:rPr>
              <w:t xml:space="preserve">Aleutian Islands Pollock </w:t>
            </w:r>
          </w:p>
        </w:tc>
        <w:tc>
          <w:tcPr>
            <w:tcW w:w="397" w:type="dxa"/>
            <w:tcBorders>
              <w:top w:val="nil"/>
              <w:left w:val="nil"/>
              <w:bottom w:val="single" w:sz="4" w:space="0" w:color="auto"/>
              <w:right w:val="nil"/>
            </w:tcBorders>
            <w:shd w:val="clear" w:color="auto" w:fill="auto"/>
            <w:vAlign w:val="center"/>
            <w:hideMark/>
          </w:tcPr>
          <w:p w14:paraId="26017761" w14:textId="77777777" w:rsidR="00E9746E" w:rsidRPr="00F32AFF" w:rsidRDefault="00E9746E" w:rsidP="008657D3">
            <w:pPr>
              <w:keepNext/>
              <w:rPr>
                <w:rFonts w:asciiTheme="minorHAnsi" w:hAnsiTheme="minorHAnsi" w:cstheme="minorHAnsi"/>
                <w:b/>
                <w:bCs/>
                <w:sz w:val="20"/>
                <w:szCs w:val="20"/>
              </w:rPr>
            </w:pPr>
            <w:r w:rsidRPr="00F32AFF">
              <w:rPr>
                <w:rFonts w:asciiTheme="minorHAnsi" w:hAnsiTheme="minorHAnsi" w:cstheme="minorHAnsi"/>
                <w:b/>
                <w:bCs/>
                <w:sz w:val="20"/>
                <w:szCs w:val="20"/>
              </w:rPr>
              <w:t> </w:t>
            </w:r>
          </w:p>
        </w:tc>
        <w:tc>
          <w:tcPr>
            <w:tcW w:w="3067" w:type="dxa"/>
            <w:tcBorders>
              <w:top w:val="nil"/>
              <w:left w:val="nil"/>
              <w:bottom w:val="single" w:sz="4" w:space="0" w:color="auto"/>
              <w:right w:val="nil"/>
            </w:tcBorders>
            <w:shd w:val="clear" w:color="auto" w:fill="auto"/>
            <w:noWrap/>
            <w:vAlign w:val="center"/>
          </w:tcPr>
          <w:p w14:paraId="214D892D" w14:textId="77777777" w:rsidR="00E9746E" w:rsidRPr="00F32AFF" w:rsidRDefault="00E9746E" w:rsidP="008657D3">
            <w:pPr>
              <w:keepNext/>
              <w:jc w:val="center"/>
              <w:rPr>
                <w:rFonts w:asciiTheme="minorHAnsi" w:hAnsiTheme="minorHAnsi" w:cstheme="minorHAnsi"/>
                <w:sz w:val="20"/>
                <w:szCs w:val="20"/>
              </w:rPr>
            </w:pPr>
            <w:r w:rsidRPr="00F32AFF">
              <w:rPr>
                <w:rFonts w:asciiTheme="minorHAnsi" w:hAnsiTheme="minorHAnsi" w:cstheme="minorHAnsi"/>
                <w:sz w:val="20"/>
                <w:szCs w:val="20"/>
              </w:rPr>
              <w:t>2017</w:t>
            </w:r>
          </w:p>
        </w:tc>
        <w:tc>
          <w:tcPr>
            <w:tcW w:w="2447" w:type="dxa"/>
            <w:tcBorders>
              <w:top w:val="nil"/>
              <w:left w:val="nil"/>
              <w:bottom w:val="single" w:sz="4" w:space="0" w:color="auto"/>
              <w:right w:val="single" w:sz="8" w:space="0" w:color="auto"/>
            </w:tcBorders>
            <w:shd w:val="clear" w:color="auto" w:fill="auto"/>
            <w:vAlign w:val="center"/>
          </w:tcPr>
          <w:p w14:paraId="36945206" w14:textId="77777777" w:rsidR="00E9746E" w:rsidRPr="00F32AFF" w:rsidRDefault="00E9746E" w:rsidP="008657D3">
            <w:pPr>
              <w:keepNext/>
              <w:jc w:val="center"/>
              <w:rPr>
                <w:rFonts w:asciiTheme="minorHAnsi" w:hAnsiTheme="minorHAnsi" w:cstheme="minorHAnsi"/>
                <w:sz w:val="20"/>
                <w:szCs w:val="20"/>
              </w:rPr>
            </w:pPr>
            <w:r w:rsidRPr="00F32AFF">
              <w:rPr>
                <w:rFonts w:asciiTheme="minorHAnsi" w:hAnsiTheme="minorHAnsi" w:cstheme="minorHAnsi"/>
                <w:sz w:val="20"/>
                <w:szCs w:val="20"/>
              </w:rPr>
              <w:t>2024</w:t>
            </w:r>
          </w:p>
        </w:tc>
      </w:tr>
      <w:tr w:rsidR="00E9746E" w:rsidRPr="00EC0E26" w14:paraId="149DF701" w14:textId="77777777" w:rsidTr="008657D3">
        <w:trPr>
          <w:trHeight w:val="168"/>
          <w:jc w:val="center"/>
        </w:trPr>
        <w:tc>
          <w:tcPr>
            <w:tcW w:w="3325" w:type="dxa"/>
            <w:tcBorders>
              <w:top w:val="nil"/>
              <w:left w:val="single" w:sz="8" w:space="0" w:color="auto"/>
              <w:bottom w:val="single" w:sz="4" w:space="0" w:color="auto"/>
              <w:right w:val="nil"/>
            </w:tcBorders>
            <w:shd w:val="clear" w:color="auto" w:fill="auto"/>
            <w:vAlign w:val="center"/>
            <w:hideMark/>
          </w:tcPr>
          <w:p w14:paraId="00F285DB" w14:textId="77777777" w:rsidR="00E9746E" w:rsidRPr="00F32AFF" w:rsidRDefault="00E9746E" w:rsidP="008657D3">
            <w:pPr>
              <w:keepNext/>
              <w:rPr>
                <w:rFonts w:asciiTheme="minorHAnsi" w:hAnsiTheme="minorHAnsi" w:cstheme="minorHAnsi"/>
                <w:sz w:val="20"/>
                <w:szCs w:val="20"/>
              </w:rPr>
            </w:pPr>
            <w:r w:rsidRPr="00F32AFF">
              <w:rPr>
                <w:rFonts w:asciiTheme="minorHAnsi" w:hAnsiTheme="minorHAnsi" w:cstheme="minorHAnsi"/>
                <w:sz w:val="20"/>
                <w:szCs w:val="20"/>
              </w:rPr>
              <w:t>BSAI Crab Rationalization</w:t>
            </w:r>
          </w:p>
        </w:tc>
        <w:tc>
          <w:tcPr>
            <w:tcW w:w="397" w:type="dxa"/>
            <w:tcBorders>
              <w:top w:val="nil"/>
              <w:left w:val="nil"/>
              <w:bottom w:val="single" w:sz="4" w:space="0" w:color="auto"/>
              <w:right w:val="nil"/>
            </w:tcBorders>
            <w:shd w:val="clear" w:color="auto" w:fill="auto"/>
            <w:vAlign w:val="center"/>
            <w:hideMark/>
          </w:tcPr>
          <w:p w14:paraId="7305DF53" w14:textId="77777777" w:rsidR="00E9746E" w:rsidRPr="00F32AFF" w:rsidRDefault="00E9746E" w:rsidP="008657D3">
            <w:pPr>
              <w:keepNext/>
              <w:rPr>
                <w:rFonts w:asciiTheme="minorHAnsi" w:hAnsiTheme="minorHAnsi" w:cstheme="minorHAnsi"/>
                <w:b/>
                <w:bCs/>
                <w:sz w:val="20"/>
                <w:szCs w:val="20"/>
              </w:rPr>
            </w:pPr>
            <w:r w:rsidRPr="00F32AFF">
              <w:rPr>
                <w:rFonts w:asciiTheme="minorHAnsi" w:hAnsiTheme="minorHAnsi" w:cstheme="minorHAnsi"/>
                <w:b/>
                <w:bCs/>
                <w:sz w:val="20"/>
                <w:szCs w:val="20"/>
              </w:rPr>
              <w:t> </w:t>
            </w:r>
          </w:p>
        </w:tc>
        <w:tc>
          <w:tcPr>
            <w:tcW w:w="3067" w:type="dxa"/>
            <w:tcBorders>
              <w:top w:val="nil"/>
              <w:left w:val="nil"/>
              <w:bottom w:val="single" w:sz="4" w:space="0" w:color="auto"/>
              <w:right w:val="nil"/>
            </w:tcBorders>
            <w:shd w:val="clear" w:color="auto" w:fill="auto"/>
            <w:noWrap/>
            <w:vAlign w:val="center"/>
          </w:tcPr>
          <w:p w14:paraId="435558E8" w14:textId="77777777" w:rsidR="00E9746E" w:rsidRPr="00F32AFF" w:rsidRDefault="00E9746E" w:rsidP="008657D3">
            <w:pPr>
              <w:keepNext/>
              <w:jc w:val="center"/>
              <w:rPr>
                <w:rFonts w:asciiTheme="minorHAnsi" w:hAnsiTheme="minorHAnsi" w:cstheme="minorHAnsi"/>
                <w:sz w:val="20"/>
                <w:szCs w:val="20"/>
              </w:rPr>
            </w:pPr>
            <w:r w:rsidRPr="00F32AFF">
              <w:rPr>
                <w:rFonts w:asciiTheme="minorHAnsi" w:hAnsiTheme="minorHAnsi" w:cstheme="minorHAnsi"/>
                <w:sz w:val="20"/>
                <w:szCs w:val="20"/>
              </w:rPr>
              <w:t>2016</w:t>
            </w:r>
          </w:p>
        </w:tc>
        <w:tc>
          <w:tcPr>
            <w:tcW w:w="2447" w:type="dxa"/>
            <w:tcBorders>
              <w:top w:val="nil"/>
              <w:left w:val="nil"/>
              <w:bottom w:val="single" w:sz="4" w:space="0" w:color="auto"/>
              <w:right w:val="single" w:sz="8" w:space="0" w:color="auto"/>
            </w:tcBorders>
            <w:shd w:val="clear" w:color="auto" w:fill="auto"/>
            <w:vAlign w:val="center"/>
          </w:tcPr>
          <w:p w14:paraId="3C4094EC" w14:textId="77777777" w:rsidR="00E9746E" w:rsidRPr="00F32AFF" w:rsidRDefault="00E9746E" w:rsidP="008657D3">
            <w:pPr>
              <w:keepNext/>
              <w:jc w:val="center"/>
              <w:rPr>
                <w:rFonts w:asciiTheme="minorHAnsi" w:hAnsiTheme="minorHAnsi" w:cstheme="minorHAnsi"/>
                <w:sz w:val="20"/>
                <w:szCs w:val="20"/>
              </w:rPr>
            </w:pPr>
            <w:r w:rsidRPr="00F32AFF">
              <w:rPr>
                <w:rFonts w:asciiTheme="minorHAnsi" w:hAnsiTheme="minorHAnsi" w:cstheme="minorHAnsi"/>
                <w:sz w:val="20"/>
                <w:szCs w:val="20"/>
              </w:rPr>
              <w:t>2023</w:t>
            </w:r>
          </w:p>
        </w:tc>
      </w:tr>
      <w:tr w:rsidR="00E9746E" w:rsidRPr="00EC0E26" w14:paraId="08ECBEAD" w14:textId="77777777" w:rsidTr="008657D3">
        <w:trPr>
          <w:trHeight w:val="168"/>
          <w:jc w:val="center"/>
        </w:trPr>
        <w:tc>
          <w:tcPr>
            <w:tcW w:w="3325" w:type="dxa"/>
            <w:tcBorders>
              <w:top w:val="nil"/>
              <w:left w:val="single" w:sz="8" w:space="0" w:color="auto"/>
              <w:bottom w:val="single" w:sz="4" w:space="0" w:color="auto"/>
              <w:right w:val="nil"/>
            </w:tcBorders>
            <w:shd w:val="clear" w:color="auto" w:fill="auto"/>
            <w:vAlign w:val="center"/>
            <w:hideMark/>
          </w:tcPr>
          <w:p w14:paraId="0B19AFF7" w14:textId="77777777" w:rsidR="00E9746E" w:rsidRPr="00F32AFF" w:rsidRDefault="00E9746E" w:rsidP="008657D3">
            <w:pPr>
              <w:keepNext/>
              <w:rPr>
                <w:rFonts w:asciiTheme="minorHAnsi" w:hAnsiTheme="minorHAnsi" w:cstheme="minorHAnsi"/>
                <w:sz w:val="20"/>
                <w:szCs w:val="20"/>
              </w:rPr>
            </w:pPr>
            <w:r w:rsidRPr="00F32AFF">
              <w:rPr>
                <w:rFonts w:asciiTheme="minorHAnsi" w:hAnsiTheme="minorHAnsi" w:cstheme="minorHAnsi"/>
                <w:sz w:val="20"/>
                <w:szCs w:val="20"/>
              </w:rPr>
              <w:t>Amendment 80</w:t>
            </w:r>
          </w:p>
        </w:tc>
        <w:tc>
          <w:tcPr>
            <w:tcW w:w="397" w:type="dxa"/>
            <w:tcBorders>
              <w:top w:val="nil"/>
              <w:left w:val="nil"/>
              <w:bottom w:val="single" w:sz="4" w:space="0" w:color="auto"/>
              <w:right w:val="nil"/>
            </w:tcBorders>
            <w:shd w:val="clear" w:color="auto" w:fill="auto"/>
            <w:vAlign w:val="center"/>
            <w:hideMark/>
          </w:tcPr>
          <w:p w14:paraId="73805EF5" w14:textId="77777777" w:rsidR="00E9746E" w:rsidRPr="00F32AFF" w:rsidRDefault="00E9746E" w:rsidP="008657D3">
            <w:pPr>
              <w:keepNext/>
              <w:rPr>
                <w:rFonts w:asciiTheme="minorHAnsi" w:hAnsiTheme="minorHAnsi" w:cstheme="minorHAnsi"/>
                <w:b/>
                <w:bCs/>
                <w:sz w:val="20"/>
                <w:szCs w:val="20"/>
              </w:rPr>
            </w:pPr>
            <w:r w:rsidRPr="00F32AFF">
              <w:rPr>
                <w:rFonts w:asciiTheme="minorHAnsi" w:hAnsiTheme="minorHAnsi" w:cstheme="minorHAnsi"/>
                <w:b/>
                <w:bCs/>
                <w:sz w:val="20"/>
                <w:szCs w:val="20"/>
              </w:rPr>
              <w:t> </w:t>
            </w:r>
          </w:p>
        </w:tc>
        <w:tc>
          <w:tcPr>
            <w:tcW w:w="3067" w:type="dxa"/>
            <w:tcBorders>
              <w:top w:val="nil"/>
              <w:left w:val="nil"/>
              <w:bottom w:val="single" w:sz="4" w:space="0" w:color="auto"/>
              <w:right w:val="nil"/>
            </w:tcBorders>
            <w:shd w:val="clear" w:color="auto" w:fill="auto"/>
            <w:noWrap/>
            <w:vAlign w:val="center"/>
          </w:tcPr>
          <w:p w14:paraId="1EC7E11B" w14:textId="77777777" w:rsidR="00E9746E" w:rsidRPr="00F32AFF" w:rsidRDefault="00E9746E" w:rsidP="008657D3">
            <w:pPr>
              <w:keepNext/>
              <w:jc w:val="center"/>
              <w:rPr>
                <w:rFonts w:asciiTheme="minorHAnsi" w:hAnsiTheme="minorHAnsi" w:cstheme="minorHAnsi"/>
                <w:sz w:val="20"/>
                <w:szCs w:val="20"/>
              </w:rPr>
            </w:pPr>
            <w:r w:rsidRPr="00F32AFF">
              <w:rPr>
                <w:rFonts w:asciiTheme="minorHAnsi" w:hAnsiTheme="minorHAnsi" w:cstheme="minorHAnsi"/>
                <w:sz w:val="20"/>
                <w:szCs w:val="20"/>
              </w:rPr>
              <w:t>2015</w:t>
            </w:r>
          </w:p>
        </w:tc>
        <w:tc>
          <w:tcPr>
            <w:tcW w:w="2447" w:type="dxa"/>
            <w:tcBorders>
              <w:top w:val="nil"/>
              <w:left w:val="nil"/>
              <w:bottom w:val="single" w:sz="4" w:space="0" w:color="auto"/>
              <w:right w:val="single" w:sz="8" w:space="0" w:color="auto"/>
            </w:tcBorders>
            <w:shd w:val="clear" w:color="auto" w:fill="auto"/>
            <w:vAlign w:val="center"/>
          </w:tcPr>
          <w:p w14:paraId="75138546" w14:textId="77777777" w:rsidR="00E9746E" w:rsidRPr="00F32AFF" w:rsidRDefault="00E9746E" w:rsidP="008657D3">
            <w:pPr>
              <w:keepNext/>
              <w:jc w:val="center"/>
              <w:rPr>
                <w:rFonts w:asciiTheme="minorHAnsi" w:hAnsiTheme="minorHAnsi" w:cstheme="minorHAnsi"/>
                <w:sz w:val="20"/>
                <w:szCs w:val="20"/>
              </w:rPr>
            </w:pPr>
            <w:r w:rsidRPr="00F32AFF">
              <w:rPr>
                <w:rFonts w:asciiTheme="minorHAnsi" w:hAnsiTheme="minorHAnsi" w:cstheme="minorHAnsi"/>
                <w:sz w:val="20"/>
                <w:szCs w:val="20"/>
              </w:rPr>
              <w:t>2022</w:t>
            </w:r>
          </w:p>
        </w:tc>
      </w:tr>
      <w:tr w:rsidR="00E9746E" w:rsidRPr="00EC0E26" w14:paraId="492B106E" w14:textId="77777777" w:rsidTr="008657D3">
        <w:trPr>
          <w:trHeight w:val="168"/>
          <w:jc w:val="center"/>
        </w:trPr>
        <w:tc>
          <w:tcPr>
            <w:tcW w:w="3325" w:type="dxa"/>
            <w:tcBorders>
              <w:top w:val="nil"/>
              <w:left w:val="single" w:sz="8" w:space="0" w:color="auto"/>
              <w:bottom w:val="single" w:sz="4" w:space="0" w:color="auto"/>
              <w:right w:val="nil"/>
            </w:tcBorders>
            <w:shd w:val="clear" w:color="auto" w:fill="auto"/>
            <w:vAlign w:val="center"/>
            <w:hideMark/>
          </w:tcPr>
          <w:p w14:paraId="7D5BAA37" w14:textId="77777777" w:rsidR="00E9746E" w:rsidRPr="00F32AFF" w:rsidRDefault="00E9746E" w:rsidP="008657D3">
            <w:pPr>
              <w:keepNext/>
              <w:rPr>
                <w:rFonts w:asciiTheme="minorHAnsi" w:hAnsiTheme="minorHAnsi" w:cstheme="minorHAnsi"/>
                <w:sz w:val="20"/>
                <w:szCs w:val="20"/>
              </w:rPr>
            </w:pPr>
            <w:r w:rsidRPr="00F32AFF">
              <w:rPr>
                <w:rFonts w:asciiTheme="minorHAnsi" w:hAnsiTheme="minorHAnsi" w:cstheme="minorHAnsi"/>
                <w:sz w:val="20"/>
                <w:szCs w:val="20"/>
              </w:rPr>
              <w:t>Halibut / Sablefish IFQ</w:t>
            </w:r>
          </w:p>
        </w:tc>
        <w:tc>
          <w:tcPr>
            <w:tcW w:w="397" w:type="dxa"/>
            <w:tcBorders>
              <w:top w:val="nil"/>
              <w:left w:val="nil"/>
              <w:bottom w:val="single" w:sz="4" w:space="0" w:color="auto"/>
              <w:right w:val="nil"/>
            </w:tcBorders>
            <w:shd w:val="clear" w:color="auto" w:fill="auto"/>
            <w:vAlign w:val="center"/>
            <w:hideMark/>
          </w:tcPr>
          <w:p w14:paraId="409E0919" w14:textId="77777777" w:rsidR="00E9746E" w:rsidRPr="00F32AFF" w:rsidRDefault="00E9746E" w:rsidP="008657D3">
            <w:pPr>
              <w:keepNext/>
              <w:rPr>
                <w:rFonts w:asciiTheme="minorHAnsi" w:hAnsiTheme="minorHAnsi" w:cstheme="minorHAnsi"/>
                <w:b/>
                <w:bCs/>
                <w:sz w:val="20"/>
                <w:szCs w:val="20"/>
              </w:rPr>
            </w:pPr>
            <w:r w:rsidRPr="00F32AFF">
              <w:rPr>
                <w:rFonts w:asciiTheme="minorHAnsi" w:hAnsiTheme="minorHAnsi" w:cstheme="minorHAnsi"/>
                <w:b/>
                <w:bCs/>
                <w:sz w:val="20"/>
                <w:szCs w:val="20"/>
              </w:rPr>
              <w:t> </w:t>
            </w:r>
          </w:p>
        </w:tc>
        <w:tc>
          <w:tcPr>
            <w:tcW w:w="3067" w:type="dxa"/>
            <w:tcBorders>
              <w:top w:val="nil"/>
              <w:left w:val="nil"/>
              <w:bottom w:val="single" w:sz="4" w:space="0" w:color="auto"/>
              <w:right w:val="nil"/>
            </w:tcBorders>
            <w:shd w:val="clear" w:color="auto" w:fill="auto"/>
            <w:noWrap/>
            <w:vAlign w:val="center"/>
          </w:tcPr>
          <w:p w14:paraId="09CFED83" w14:textId="77777777" w:rsidR="00E9746E" w:rsidRPr="00F32AFF" w:rsidRDefault="00E9746E" w:rsidP="008657D3">
            <w:pPr>
              <w:keepNext/>
              <w:jc w:val="center"/>
              <w:rPr>
                <w:rFonts w:asciiTheme="minorHAnsi" w:hAnsiTheme="minorHAnsi" w:cstheme="minorHAnsi"/>
                <w:sz w:val="20"/>
                <w:szCs w:val="20"/>
              </w:rPr>
            </w:pPr>
            <w:r w:rsidRPr="00F32AFF">
              <w:rPr>
                <w:rFonts w:asciiTheme="minorHAnsi" w:hAnsiTheme="minorHAnsi" w:cstheme="minorHAnsi"/>
                <w:sz w:val="20"/>
                <w:szCs w:val="20"/>
              </w:rPr>
              <w:t>2016</w:t>
            </w:r>
          </w:p>
        </w:tc>
        <w:tc>
          <w:tcPr>
            <w:tcW w:w="2447" w:type="dxa"/>
            <w:tcBorders>
              <w:top w:val="nil"/>
              <w:left w:val="nil"/>
              <w:bottom w:val="single" w:sz="4" w:space="0" w:color="auto"/>
              <w:right w:val="single" w:sz="8" w:space="0" w:color="auto"/>
            </w:tcBorders>
            <w:shd w:val="clear" w:color="auto" w:fill="auto"/>
            <w:vAlign w:val="center"/>
          </w:tcPr>
          <w:p w14:paraId="08D75D83" w14:textId="77777777" w:rsidR="00E9746E" w:rsidRPr="00F32AFF" w:rsidRDefault="00E9746E" w:rsidP="008657D3">
            <w:pPr>
              <w:keepNext/>
              <w:jc w:val="center"/>
              <w:rPr>
                <w:rFonts w:asciiTheme="minorHAnsi" w:hAnsiTheme="minorHAnsi" w:cstheme="minorHAnsi"/>
                <w:sz w:val="20"/>
                <w:szCs w:val="20"/>
              </w:rPr>
            </w:pPr>
            <w:r w:rsidRPr="00F32AFF">
              <w:rPr>
                <w:rFonts w:asciiTheme="minorHAnsi" w:hAnsiTheme="minorHAnsi" w:cstheme="minorHAnsi"/>
                <w:sz w:val="20"/>
                <w:szCs w:val="20"/>
              </w:rPr>
              <w:t>2023</w:t>
            </w:r>
          </w:p>
        </w:tc>
      </w:tr>
      <w:tr w:rsidR="00E9746E" w:rsidRPr="00EC0E26" w14:paraId="0C3B7584" w14:textId="77777777" w:rsidTr="008657D3">
        <w:trPr>
          <w:trHeight w:val="168"/>
          <w:jc w:val="center"/>
        </w:trPr>
        <w:tc>
          <w:tcPr>
            <w:tcW w:w="3325" w:type="dxa"/>
            <w:tcBorders>
              <w:top w:val="nil"/>
              <w:left w:val="single" w:sz="8" w:space="0" w:color="auto"/>
              <w:bottom w:val="single" w:sz="4" w:space="0" w:color="auto"/>
              <w:right w:val="nil"/>
            </w:tcBorders>
            <w:shd w:val="clear" w:color="auto" w:fill="auto"/>
            <w:vAlign w:val="center"/>
            <w:hideMark/>
          </w:tcPr>
          <w:p w14:paraId="14221B63" w14:textId="77777777" w:rsidR="00E9746E" w:rsidRPr="00555918" w:rsidRDefault="00E9746E" w:rsidP="008657D3">
            <w:pPr>
              <w:keepNext/>
              <w:rPr>
                <w:rFonts w:asciiTheme="minorHAnsi" w:hAnsiTheme="minorHAnsi" w:cstheme="minorHAnsi"/>
                <w:sz w:val="20"/>
                <w:szCs w:val="20"/>
              </w:rPr>
            </w:pPr>
            <w:r w:rsidRPr="00555918">
              <w:rPr>
                <w:rFonts w:asciiTheme="minorHAnsi" w:hAnsiTheme="minorHAnsi" w:cstheme="minorHAnsi"/>
                <w:sz w:val="20"/>
                <w:szCs w:val="20"/>
              </w:rPr>
              <w:t xml:space="preserve">Central Gulf of Alaska Rockfish </w:t>
            </w:r>
          </w:p>
        </w:tc>
        <w:tc>
          <w:tcPr>
            <w:tcW w:w="397" w:type="dxa"/>
            <w:tcBorders>
              <w:top w:val="nil"/>
              <w:left w:val="nil"/>
              <w:bottom w:val="single" w:sz="4" w:space="0" w:color="auto"/>
              <w:right w:val="nil"/>
            </w:tcBorders>
            <w:shd w:val="clear" w:color="auto" w:fill="auto"/>
            <w:vAlign w:val="center"/>
            <w:hideMark/>
          </w:tcPr>
          <w:p w14:paraId="7B816D1E" w14:textId="77777777" w:rsidR="00E9746E" w:rsidRPr="00F32AFF" w:rsidRDefault="00E9746E" w:rsidP="008657D3">
            <w:pPr>
              <w:keepNext/>
              <w:rPr>
                <w:rFonts w:asciiTheme="minorHAnsi" w:hAnsiTheme="minorHAnsi" w:cstheme="minorHAnsi"/>
                <w:sz w:val="20"/>
                <w:szCs w:val="20"/>
              </w:rPr>
            </w:pPr>
            <w:r w:rsidRPr="00F32AFF">
              <w:rPr>
                <w:rFonts w:asciiTheme="minorHAnsi" w:hAnsiTheme="minorHAnsi" w:cstheme="minorHAnsi"/>
                <w:sz w:val="20"/>
                <w:szCs w:val="20"/>
              </w:rPr>
              <w:t> </w:t>
            </w:r>
          </w:p>
        </w:tc>
        <w:tc>
          <w:tcPr>
            <w:tcW w:w="3067" w:type="dxa"/>
            <w:tcBorders>
              <w:top w:val="nil"/>
              <w:left w:val="nil"/>
              <w:bottom w:val="single" w:sz="4" w:space="0" w:color="auto"/>
              <w:right w:val="nil"/>
            </w:tcBorders>
            <w:shd w:val="clear" w:color="auto" w:fill="auto"/>
            <w:noWrap/>
            <w:vAlign w:val="center"/>
          </w:tcPr>
          <w:p w14:paraId="2F441508" w14:textId="77777777" w:rsidR="00E9746E" w:rsidRPr="00F32AFF" w:rsidRDefault="00E9746E" w:rsidP="008657D3">
            <w:pPr>
              <w:keepNext/>
              <w:jc w:val="center"/>
              <w:rPr>
                <w:rFonts w:asciiTheme="minorHAnsi" w:hAnsiTheme="minorHAnsi" w:cstheme="minorHAnsi"/>
                <w:sz w:val="20"/>
                <w:szCs w:val="20"/>
              </w:rPr>
            </w:pPr>
            <w:r w:rsidRPr="00F32AFF">
              <w:rPr>
                <w:rFonts w:asciiTheme="minorHAnsi" w:hAnsiTheme="minorHAnsi" w:cstheme="minorHAnsi"/>
                <w:sz w:val="20"/>
                <w:szCs w:val="20"/>
              </w:rPr>
              <w:t>2017; reauthorized in 2019</w:t>
            </w:r>
          </w:p>
        </w:tc>
        <w:tc>
          <w:tcPr>
            <w:tcW w:w="2447" w:type="dxa"/>
            <w:tcBorders>
              <w:top w:val="nil"/>
              <w:left w:val="nil"/>
              <w:bottom w:val="single" w:sz="4" w:space="0" w:color="auto"/>
              <w:right w:val="single" w:sz="8" w:space="0" w:color="auto"/>
            </w:tcBorders>
            <w:shd w:val="clear" w:color="auto" w:fill="auto"/>
            <w:vAlign w:val="center"/>
          </w:tcPr>
          <w:p w14:paraId="61E79491" w14:textId="77777777" w:rsidR="00E9746E" w:rsidRPr="00F32AFF" w:rsidRDefault="00E9746E" w:rsidP="008657D3">
            <w:pPr>
              <w:keepNext/>
              <w:jc w:val="center"/>
              <w:rPr>
                <w:rFonts w:asciiTheme="minorHAnsi" w:hAnsiTheme="minorHAnsi" w:cstheme="minorHAnsi"/>
                <w:strike/>
                <w:sz w:val="20"/>
                <w:szCs w:val="20"/>
              </w:rPr>
            </w:pPr>
            <w:r w:rsidRPr="00D5365D">
              <w:rPr>
                <w:rFonts w:asciiTheme="minorHAnsi" w:hAnsiTheme="minorHAnsi" w:cstheme="minorHAnsi"/>
                <w:strike/>
                <w:sz w:val="20"/>
                <w:szCs w:val="20"/>
                <w:highlight w:val="yellow"/>
              </w:rPr>
              <w:t>2024</w:t>
            </w:r>
            <w:r w:rsidRPr="00D5365D">
              <w:rPr>
                <w:rFonts w:asciiTheme="minorHAnsi" w:hAnsiTheme="minorHAnsi" w:cstheme="minorHAnsi"/>
                <w:sz w:val="20"/>
                <w:szCs w:val="20"/>
                <w:highlight w:val="yellow"/>
              </w:rPr>
              <w:t xml:space="preserve"> 2026</w:t>
            </w:r>
          </w:p>
        </w:tc>
      </w:tr>
      <w:tr w:rsidR="00E9746E" w:rsidRPr="00EC0E26" w14:paraId="659CFC00" w14:textId="77777777" w:rsidTr="008657D3">
        <w:trPr>
          <w:trHeight w:val="168"/>
          <w:jc w:val="center"/>
        </w:trPr>
        <w:tc>
          <w:tcPr>
            <w:tcW w:w="3325" w:type="dxa"/>
            <w:tcBorders>
              <w:top w:val="nil"/>
              <w:left w:val="single" w:sz="8" w:space="0" w:color="auto"/>
              <w:bottom w:val="single" w:sz="4" w:space="0" w:color="auto"/>
              <w:right w:val="nil"/>
            </w:tcBorders>
            <w:shd w:val="clear" w:color="auto" w:fill="auto"/>
            <w:vAlign w:val="center"/>
            <w:hideMark/>
          </w:tcPr>
          <w:p w14:paraId="6017FF93" w14:textId="77777777" w:rsidR="00E9746E" w:rsidRPr="00555918" w:rsidRDefault="00E9746E" w:rsidP="008657D3">
            <w:pPr>
              <w:keepNext/>
              <w:rPr>
                <w:rFonts w:asciiTheme="minorHAnsi" w:hAnsiTheme="minorHAnsi" w:cstheme="minorHAnsi"/>
                <w:sz w:val="20"/>
                <w:szCs w:val="20"/>
              </w:rPr>
            </w:pPr>
            <w:r w:rsidRPr="00555918">
              <w:rPr>
                <w:rFonts w:asciiTheme="minorHAnsi" w:hAnsiTheme="minorHAnsi" w:cstheme="minorHAnsi"/>
                <w:sz w:val="20"/>
                <w:szCs w:val="20"/>
              </w:rPr>
              <w:t>GOA Pacific Cod Sector Allocation</w:t>
            </w:r>
          </w:p>
        </w:tc>
        <w:tc>
          <w:tcPr>
            <w:tcW w:w="397" w:type="dxa"/>
            <w:tcBorders>
              <w:top w:val="nil"/>
              <w:left w:val="nil"/>
              <w:bottom w:val="single" w:sz="4" w:space="0" w:color="auto"/>
              <w:right w:val="nil"/>
            </w:tcBorders>
            <w:shd w:val="clear" w:color="auto" w:fill="auto"/>
            <w:vAlign w:val="center"/>
            <w:hideMark/>
          </w:tcPr>
          <w:p w14:paraId="13B49434" w14:textId="77777777" w:rsidR="00E9746E" w:rsidRPr="00F32AFF" w:rsidRDefault="00E9746E" w:rsidP="008657D3">
            <w:pPr>
              <w:keepNext/>
              <w:rPr>
                <w:rFonts w:asciiTheme="minorHAnsi" w:hAnsiTheme="minorHAnsi" w:cstheme="minorHAnsi"/>
                <w:sz w:val="20"/>
                <w:szCs w:val="20"/>
              </w:rPr>
            </w:pPr>
            <w:r w:rsidRPr="00F32AFF">
              <w:rPr>
                <w:rFonts w:asciiTheme="minorHAnsi" w:hAnsiTheme="minorHAnsi" w:cstheme="minorHAnsi"/>
                <w:sz w:val="20"/>
                <w:szCs w:val="20"/>
              </w:rPr>
              <w:t> </w:t>
            </w:r>
          </w:p>
        </w:tc>
        <w:tc>
          <w:tcPr>
            <w:tcW w:w="3067" w:type="dxa"/>
            <w:tcBorders>
              <w:top w:val="nil"/>
              <w:left w:val="nil"/>
              <w:bottom w:val="single" w:sz="4" w:space="0" w:color="auto"/>
              <w:right w:val="nil"/>
            </w:tcBorders>
            <w:shd w:val="clear" w:color="auto" w:fill="auto"/>
            <w:noWrap/>
            <w:vAlign w:val="center"/>
          </w:tcPr>
          <w:p w14:paraId="11A654A7" w14:textId="77777777" w:rsidR="00E9746E" w:rsidRPr="00F32AFF" w:rsidRDefault="00E9746E" w:rsidP="008657D3">
            <w:pPr>
              <w:keepNext/>
              <w:jc w:val="center"/>
              <w:rPr>
                <w:rFonts w:asciiTheme="minorHAnsi" w:hAnsiTheme="minorHAnsi" w:cstheme="minorHAnsi"/>
                <w:sz w:val="20"/>
                <w:szCs w:val="20"/>
              </w:rPr>
            </w:pPr>
            <w:r w:rsidRPr="00F32AFF">
              <w:rPr>
                <w:rFonts w:asciiTheme="minorHAnsi" w:hAnsiTheme="minorHAnsi" w:cstheme="minorHAnsi"/>
                <w:sz w:val="20"/>
                <w:szCs w:val="20"/>
              </w:rPr>
              <w:t>Am 83 Implemented in 2012</w:t>
            </w:r>
          </w:p>
        </w:tc>
        <w:tc>
          <w:tcPr>
            <w:tcW w:w="2447" w:type="dxa"/>
            <w:tcBorders>
              <w:top w:val="nil"/>
              <w:left w:val="nil"/>
              <w:bottom w:val="single" w:sz="4" w:space="0" w:color="auto"/>
              <w:right w:val="single" w:sz="8" w:space="0" w:color="auto"/>
            </w:tcBorders>
            <w:shd w:val="clear" w:color="auto" w:fill="auto"/>
            <w:vAlign w:val="center"/>
          </w:tcPr>
          <w:p w14:paraId="350A4244" w14:textId="77777777" w:rsidR="00E9746E" w:rsidRPr="00F32AFF" w:rsidRDefault="00E9746E" w:rsidP="008657D3">
            <w:pPr>
              <w:keepNext/>
              <w:jc w:val="center"/>
              <w:rPr>
                <w:rFonts w:asciiTheme="minorHAnsi" w:hAnsiTheme="minorHAnsi" w:cstheme="minorHAnsi"/>
                <w:b/>
                <w:sz w:val="20"/>
                <w:szCs w:val="20"/>
              </w:rPr>
            </w:pPr>
            <w:r w:rsidRPr="00F32AFF">
              <w:rPr>
                <w:rFonts w:asciiTheme="minorHAnsi" w:hAnsiTheme="minorHAnsi" w:cstheme="minorHAnsi"/>
                <w:b/>
                <w:sz w:val="20"/>
                <w:szCs w:val="20"/>
              </w:rPr>
              <w:t>2020</w:t>
            </w:r>
          </w:p>
        </w:tc>
      </w:tr>
      <w:tr w:rsidR="00E9746E" w:rsidRPr="00EC0E26" w14:paraId="62FF725A" w14:textId="77777777" w:rsidTr="008657D3">
        <w:trPr>
          <w:trHeight w:val="168"/>
          <w:jc w:val="center"/>
        </w:trPr>
        <w:tc>
          <w:tcPr>
            <w:tcW w:w="3325" w:type="dxa"/>
            <w:tcBorders>
              <w:top w:val="nil"/>
              <w:left w:val="single" w:sz="8" w:space="0" w:color="auto"/>
              <w:bottom w:val="single" w:sz="4" w:space="0" w:color="auto"/>
              <w:right w:val="nil"/>
            </w:tcBorders>
            <w:shd w:val="clear" w:color="auto" w:fill="auto"/>
            <w:vAlign w:val="center"/>
            <w:hideMark/>
          </w:tcPr>
          <w:p w14:paraId="527C68E9" w14:textId="77777777" w:rsidR="00E9746E" w:rsidRPr="00555918" w:rsidRDefault="00E9746E" w:rsidP="008657D3">
            <w:pPr>
              <w:keepNext/>
              <w:rPr>
                <w:rFonts w:asciiTheme="minorHAnsi" w:hAnsiTheme="minorHAnsi" w:cstheme="minorHAnsi"/>
                <w:sz w:val="20"/>
                <w:szCs w:val="20"/>
              </w:rPr>
            </w:pPr>
            <w:r w:rsidRPr="00555918">
              <w:rPr>
                <w:rFonts w:asciiTheme="minorHAnsi" w:hAnsiTheme="minorHAnsi" w:cstheme="minorHAnsi"/>
                <w:sz w:val="20"/>
                <w:szCs w:val="20"/>
              </w:rPr>
              <w:t>BSAI Pacific Cod Sector Allocation</w:t>
            </w:r>
          </w:p>
        </w:tc>
        <w:tc>
          <w:tcPr>
            <w:tcW w:w="397" w:type="dxa"/>
            <w:tcBorders>
              <w:top w:val="nil"/>
              <w:left w:val="nil"/>
              <w:bottom w:val="single" w:sz="4" w:space="0" w:color="auto"/>
              <w:right w:val="nil"/>
            </w:tcBorders>
            <w:shd w:val="clear" w:color="auto" w:fill="auto"/>
            <w:vAlign w:val="center"/>
            <w:hideMark/>
          </w:tcPr>
          <w:p w14:paraId="09D1957B" w14:textId="77777777" w:rsidR="00E9746E" w:rsidRPr="00F32AFF" w:rsidRDefault="00E9746E" w:rsidP="008657D3">
            <w:pPr>
              <w:keepNext/>
              <w:rPr>
                <w:rFonts w:asciiTheme="minorHAnsi" w:hAnsiTheme="minorHAnsi" w:cstheme="minorHAnsi"/>
                <w:sz w:val="20"/>
                <w:szCs w:val="20"/>
              </w:rPr>
            </w:pPr>
            <w:r w:rsidRPr="00F32AFF">
              <w:rPr>
                <w:rFonts w:asciiTheme="minorHAnsi" w:hAnsiTheme="minorHAnsi" w:cstheme="minorHAnsi"/>
                <w:sz w:val="20"/>
                <w:szCs w:val="20"/>
              </w:rPr>
              <w:t> </w:t>
            </w:r>
          </w:p>
        </w:tc>
        <w:tc>
          <w:tcPr>
            <w:tcW w:w="3067" w:type="dxa"/>
            <w:tcBorders>
              <w:top w:val="nil"/>
              <w:left w:val="nil"/>
              <w:bottom w:val="single" w:sz="4" w:space="0" w:color="auto"/>
              <w:right w:val="nil"/>
            </w:tcBorders>
            <w:shd w:val="clear" w:color="auto" w:fill="auto"/>
            <w:noWrap/>
            <w:vAlign w:val="center"/>
          </w:tcPr>
          <w:p w14:paraId="48603333" w14:textId="77777777" w:rsidR="00E9746E" w:rsidRPr="00F32AFF" w:rsidRDefault="00E9746E" w:rsidP="008657D3">
            <w:pPr>
              <w:keepNext/>
              <w:jc w:val="center"/>
              <w:rPr>
                <w:rFonts w:asciiTheme="minorHAnsi" w:hAnsiTheme="minorHAnsi" w:cstheme="minorHAnsi"/>
                <w:sz w:val="20"/>
                <w:szCs w:val="20"/>
              </w:rPr>
            </w:pPr>
            <w:r w:rsidRPr="00F32AFF">
              <w:rPr>
                <w:rFonts w:asciiTheme="minorHAnsi" w:hAnsiTheme="minorHAnsi" w:cstheme="minorHAnsi"/>
                <w:sz w:val="20"/>
                <w:szCs w:val="20"/>
              </w:rPr>
              <w:t>2019</w:t>
            </w:r>
          </w:p>
        </w:tc>
        <w:tc>
          <w:tcPr>
            <w:tcW w:w="2447" w:type="dxa"/>
            <w:tcBorders>
              <w:top w:val="nil"/>
              <w:left w:val="nil"/>
              <w:bottom w:val="single" w:sz="4" w:space="0" w:color="auto"/>
              <w:right w:val="single" w:sz="8" w:space="0" w:color="auto"/>
            </w:tcBorders>
            <w:shd w:val="clear" w:color="auto" w:fill="auto"/>
            <w:vAlign w:val="center"/>
          </w:tcPr>
          <w:p w14:paraId="2D99091D" w14:textId="77777777" w:rsidR="00E9746E" w:rsidRPr="00F32AFF" w:rsidRDefault="00E9746E" w:rsidP="008657D3">
            <w:pPr>
              <w:keepNext/>
              <w:jc w:val="center"/>
              <w:rPr>
                <w:rFonts w:asciiTheme="minorHAnsi" w:hAnsiTheme="minorHAnsi" w:cstheme="minorHAnsi"/>
                <w:b/>
                <w:sz w:val="20"/>
                <w:szCs w:val="20"/>
              </w:rPr>
            </w:pPr>
            <w:r w:rsidRPr="00F32AFF">
              <w:rPr>
                <w:rFonts w:asciiTheme="minorHAnsi" w:hAnsiTheme="minorHAnsi" w:cstheme="minorHAnsi"/>
                <w:b/>
                <w:sz w:val="20"/>
                <w:szCs w:val="20"/>
              </w:rPr>
              <w:t>2029</w:t>
            </w:r>
          </w:p>
        </w:tc>
      </w:tr>
      <w:tr w:rsidR="00E9746E" w:rsidRPr="00EC0E26" w14:paraId="0C9149EF" w14:textId="77777777" w:rsidTr="008657D3">
        <w:trPr>
          <w:trHeight w:val="177"/>
          <w:jc w:val="center"/>
        </w:trPr>
        <w:tc>
          <w:tcPr>
            <w:tcW w:w="3325" w:type="dxa"/>
            <w:tcBorders>
              <w:top w:val="nil"/>
              <w:left w:val="single" w:sz="8" w:space="0" w:color="auto"/>
              <w:bottom w:val="single" w:sz="8" w:space="0" w:color="auto"/>
              <w:right w:val="nil"/>
            </w:tcBorders>
            <w:shd w:val="clear" w:color="auto" w:fill="auto"/>
            <w:vAlign w:val="center"/>
            <w:hideMark/>
          </w:tcPr>
          <w:p w14:paraId="7CD2D835" w14:textId="77777777" w:rsidR="00E9746E" w:rsidRPr="00555918" w:rsidRDefault="00E9746E" w:rsidP="008657D3">
            <w:pPr>
              <w:rPr>
                <w:rFonts w:asciiTheme="minorHAnsi" w:hAnsiTheme="minorHAnsi" w:cstheme="minorHAnsi"/>
                <w:sz w:val="20"/>
                <w:szCs w:val="20"/>
              </w:rPr>
            </w:pPr>
            <w:r w:rsidRPr="00555918">
              <w:rPr>
                <w:rFonts w:asciiTheme="minorHAnsi" w:hAnsiTheme="minorHAnsi" w:cstheme="minorHAnsi"/>
                <w:sz w:val="20"/>
                <w:szCs w:val="20"/>
              </w:rPr>
              <w:t>Halibut Catch Sharing Plan</w:t>
            </w:r>
          </w:p>
        </w:tc>
        <w:tc>
          <w:tcPr>
            <w:tcW w:w="397" w:type="dxa"/>
            <w:tcBorders>
              <w:top w:val="nil"/>
              <w:left w:val="nil"/>
              <w:bottom w:val="single" w:sz="8" w:space="0" w:color="auto"/>
              <w:right w:val="nil"/>
            </w:tcBorders>
            <w:shd w:val="clear" w:color="auto" w:fill="auto"/>
            <w:vAlign w:val="center"/>
            <w:hideMark/>
          </w:tcPr>
          <w:p w14:paraId="3FBD7093" w14:textId="77777777" w:rsidR="00E9746E" w:rsidRPr="00F32AFF" w:rsidRDefault="00E9746E" w:rsidP="008657D3">
            <w:pPr>
              <w:rPr>
                <w:rFonts w:asciiTheme="minorHAnsi" w:hAnsiTheme="minorHAnsi" w:cstheme="minorHAnsi"/>
                <w:b/>
                <w:bCs/>
                <w:sz w:val="20"/>
                <w:szCs w:val="20"/>
              </w:rPr>
            </w:pPr>
            <w:r w:rsidRPr="00F32AFF">
              <w:rPr>
                <w:rFonts w:asciiTheme="minorHAnsi" w:hAnsiTheme="minorHAnsi" w:cstheme="minorHAnsi"/>
                <w:b/>
                <w:bCs/>
                <w:sz w:val="20"/>
                <w:szCs w:val="20"/>
              </w:rPr>
              <w:t> </w:t>
            </w:r>
          </w:p>
        </w:tc>
        <w:tc>
          <w:tcPr>
            <w:tcW w:w="3067" w:type="dxa"/>
            <w:tcBorders>
              <w:top w:val="nil"/>
              <w:left w:val="nil"/>
              <w:bottom w:val="single" w:sz="8" w:space="0" w:color="auto"/>
              <w:right w:val="nil"/>
            </w:tcBorders>
            <w:shd w:val="clear" w:color="auto" w:fill="auto"/>
            <w:noWrap/>
            <w:vAlign w:val="center"/>
          </w:tcPr>
          <w:p w14:paraId="6194930A" w14:textId="77777777" w:rsidR="00E9746E" w:rsidRPr="00F32AFF" w:rsidRDefault="00E9746E" w:rsidP="008657D3">
            <w:pPr>
              <w:jc w:val="center"/>
              <w:rPr>
                <w:rFonts w:asciiTheme="minorHAnsi" w:hAnsiTheme="minorHAnsi" w:cstheme="minorHAnsi"/>
                <w:sz w:val="20"/>
                <w:szCs w:val="20"/>
              </w:rPr>
            </w:pPr>
            <w:r w:rsidRPr="00F32AFF">
              <w:rPr>
                <w:rFonts w:asciiTheme="minorHAnsi" w:hAnsiTheme="minorHAnsi" w:cstheme="minorHAnsi"/>
                <w:sz w:val="20"/>
                <w:szCs w:val="20"/>
              </w:rPr>
              <w:t>Implemented in 2014</w:t>
            </w:r>
          </w:p>
        </w:tc>
        <w:tc>
          <w:tcPr>
            <w:tcW w:w="2447" w:type="dxa"/>
            <w:tcBorders>
              <w:top w:val="nil"/>
              <w:left w:val="nil"/>
              <w:bottom w:val="single" w:sz="8" w:space="0" w:color="auto"/>
              <w:right w:val="single" w:sz="8" w:space="0" w:color="auto"/>
            </w:tcBorders>
            <w:shd w:val="clear" w:color="auto" w:fill="auto"/>
            <w:vAlign w:val="center"/>
          </w:tcPr>
          <w:p w14:paraId="1BD9C618" w14:textId="77777777" w:rsidR="00E9746E" w:rsidRPr="00F32AFF" w:rsidRDefault="00E9746E" w:rsidP="008657D3">
            <w:pPr>
              <w:jc w:val="center"/>
              <w:rPr>
                <w:rFonts w:asciiTheme="minorHAnsi" w:hAnsiTheme="minorHAnsi" w:cstheme="minorHAnsi"/>
                <w:b/>
                <w:sz w:val="20"/>
                <w:szCs w:val="20"/>
              </w:rPr>
            </w:pPr>
            <w:r w:rsidRPr="00F32AFF">
              <w:rPr>
                <w:rFonts w:asciiTheme="minorHAnsi" w:hAnsiTheme="minorHAnsi" w:cstheme="minorHAnsi"/>
                <w:b/>
                <w:sz w:val="20"/>
                <w:szCs w:val="20"/>
              </w:rPr>
              <w:t>2021</w:t>
            </w:r>
          </w:p>
        </w:tc>
      </w:tr>
    </w:tbl>
    <w:p w14:paraId="3CCE06AE" w14:textId="77777777" w:rsidR="00E9746E" w:rsidRPr="00EC0E26" w:rsidRDefault="00E9746E" w:rsidP="00E9746E"/>
    <w:p w14:paraId="0E4A3929" w14:textId="63123ED4" w:rsidR="00E9746E" w:rsidRDefault="00E9746E" w:rsidP="00DA67C4">
      <w:pPr>
        <w:spacing w:after="120"/>
      </w:pPr>
      <w:r w:rsidRPr="00EC0E26">
        <w:t xml:space="preserve">The Council </w:t>
      </w:r>
      <w:r>
        <w:t xml:space="preserve">adopted a </w:t>
      </w:r>
      <w:r w:rsidRPr="00EC0E26">
        <w:t xml:space="preserve">schedule </w:t>
      </w:r>
      <w:r>
        <w:t xml:space="preserve">of allocation reviews in October 2017, with </w:t>
      </w:r>
      <w:r w:rsidRPr="00EC0E26">
        <w:t>a review of the BSAI cod allocation in 2019</w:t>
      </w:r>
      <w:r>
        <w:t xml:space="preserve">, </w:t>
      </w:r>
      <w:r w:rsidRPr="00EC0E26">
        <w:t xml:space="preserve">the GOA </w:t>
      </w:r>
      <w:r>
        <w:t xml:space="preserve">Pacific </w:t>
      </w:r>
      <w:r w:rsidRPr="00EC0E26">
        <w:t xml:space="preserve">cod allocation in 2020, and the Halibut Catch Sharing Plan in 2021.  This schedule </w:t>
      </w:r>
      <w:r>
        <w:t xml:space="preserve">was chosen to </w:t>
      </w:r>
      <w:r w:rsidRPr="00EC0E26">
        <w:t>eliminate overlap with the next scheduled LAPP reviews. Note that</w:t>
      </w:r>
      <w:r>
        <w:t xml:space="preserve"> both the</w:t>
      </w:r>
      <w:r w:rsidRPr="00EC0E26">
        <w:t xml:space="preserve"> GOA cod allocation and the Halibut CSP allocation reviews </w:t>
      </w:r>
      <w:r>
        <w:t xml:space="preserve">were scheduled sooner than </w:t>
      </w:r>
      <w:r w:rsidRPr="00EC0E26">
        <w:t xml:space="preserve">the full 10 years since implementation, </w:t>
      </w:r>
      <w:r>
        <w:t>so as to avoid</w:t>
      </w:r>
      <w:r w:rsidRPr="00EC0E26">
        <w:t xml:space="preserve"> major staffing challenges</w:t>
      </w:r>
      <w:r>
        <w:t xml:space="preserve"> with LAPP reviews</w:t>
      </w:r>
      <w:r w:rsidRPr="00EC0E26">
        <w:t xml:space="preserve"> in 2022 </w:t>
      </w:r>
      <w:r>
        <w:t xml:space="preserve">(Amendment 80), 2023 (Crab Program, Halibut IFQ) </w:t>
      </w:r>
      <w:r w:rsidRPr="00EC0E26">
        <w:t>and 2024</w:t>
      </w:r>
      <w:r>
        <w:t xml:space="preserve"> (AFA, GOA Rockfish). One change in the schedule is </w:t>
      </w:r>
      <w:r>
        <w:lastRenderedPageBreak/>
        <w:t>that the revised rockfish program authorized by the Council restarts the clock, so the rockfish program review date will be in 2026.</w:t>
      </w:r>
    </w:p>
    <w:p w14:paraId="507F9B02" w14:textId="77777777" w:rsidR="00E9746E" w:rsidRDefault="00E9746E" w:rsidP="00E9746E">
      <w:r>
        <w:t>In sum, the Council could reschedule the GOA Pacific cod allocation to 2021 or 2022, with the understanding that it would be concurrent with other reviews currently scheduled (Halibut Catch Sharing Plan allocation review in 2021 and Amendment 80 LAPP review in 2022).</w:t>
      </w:r>
      <w:r w:rsidRPr="005416DA">
        <w:t xml:space="preserve"> </w:t>
      </w:r>
    </w:p>
    <w:p w14:paraId="7828980A" w14:textId="6E84808B" w:rsidR="00E9746E" w:rsidRDefault="004A2CBC" w:rsidP="008F2D10">
      <w:pPr>
        <w:pStyle w:val="Heading3"/>
      </w:pPr>
      <w:r>
        <w:t>Tasking Documents</w:t>
      </w:r>
    </w:p>
    <w:p w14:paraId="77987F3E" w14:textId="402B1C63" w:rsidR="00644F7B" w:rsidRDefault="004A2CBC" w:rsidP="0081358C">
      <w:pPr>
        <w:spacing w:after="60"/>
      </w:pPr>
      <w:r>
        <w:t xml:space="preserve">Attached are updated versions of tasking documents that </w:t>
      </w:r>
      <w:r w:rsidR="00E220B7">
        <w:t>are normally</w:t>
      </w:r>
      <w:r>
        <w:t xml:space="preserve"> </w:t>
      </w:r>
      <w:r w:rsidR="00E220B7">
        <w:t>included as background material for</w:t>
      </w:r>
      <w:r>
        <w:t xml:space="preserve"> staff tasking:</w:t>
      </w:r>
      <w:r w:rsidR="0081358C">
        <w:t xml:space="preserve"> </w:t>
      </w:r>
      <w:r>
        <w:t>Council staff responsibilities</w:t>
      </w:r>
      <w:r w:rsidR="0081358C">
        <w:t>, g</w:t>
      </w:r>
      <w:r>
        <w:t>roundfish workplan update</w:t>
      </w:r>
      <w:r w:rsidR="0081358C">
        <w:t>, s</w:t>
      </w:r>
      <w:r>
        <w:t>tatus of Observer Program projects</w:t>
      </w:r>
      <w:r w:rsidR="0081358C">
        <w:t>, and s</w:t>
      </w:r>
      <w:r>
        <w:t>tatus of IFQ projects</w:t>
      </w:r>
      <w:r w:rsidR="0081358C">
        <w:t xml:space="preserve">. </w:t>
      </w:r>
      <w:r>
        <w:t xml:space="preserve">The other </w:t>
      </w:r>
      <w:r w:rsidR="00B056C4">
        <w:t>primary document</w:t>
      </w:r>
      <w:r>
        <w:t xml:space="preserve"> that the Council uses for prioritization is the three</w:t>
      </w:r>
      <w:r w:rsidR="007F693E">
        <w:t>-</w:t>
      </w:r>
      <w:r>
        <w:t>meeting outlook</w:t>
      </w:r>
      <w:r w:rsidR="00B056C4">
        <w:t xml:space="preserve">, which has not </w:t>
      </w:r>
      <w:r w:rsidR="00E9746E">
        <w:t xml:space="preserve">been </w:t>
      </w:r>
      <w:r w:rsidR="00B3576C">
        <w:t>updated</w:t>
      </w:r>
      <w:r w:rsidR="00E9746E">
        <w:t xml:space="preserve"> since the</w:t>
      </w:r>
      <w:r w:rsidR="00F579EC">
        <w:t xml:space="preserve"> conclusion of the</w:t>
      </w:r>
      <w:r w:rsidR="00E9746E">
        <w:t xml:space="preserve"> </w:t>
      </w:r>
      <w:r w:rsidR="00B056C4">
        <w:t xml:space="preserve">last </w:t>
      </w:r>
      <w:r w:rsidR="00891562">
        <w:t xml:space="preserve">regular Council </w:t>
      </w:r>
      <w:r w:rsidR="00B056C4">
        <w:t xml:space="preserve">meeting, in </w:t>
      </w:r>
      <w:r w:rsidR="00E9746E">
        <w:t>February</w:t>
      </w:r>
      <w:r w:rsidR="00F579EC">
        <w:t xml:space="preserve">. </w:t>
      </w:r>
      <w:r w:rsidR="00B3576C">
        <w:t>The attached February version has, however, been annotated to indicate which items from the cancelled April and limited June meetings that the Council is not intending to revisit (e.g., reports that have simply been posted to the website or annual reports that will be taken up next year), and which items need to be scheduled for a future meeting (marked with “??”). W</w:t>
      </w:r>
      <w:r w:rsidR="00F579EC">
        <w:t xml:space="preserve">e are looking for guidance from the Council about </w:t>
      </w:r>
      <w:r w:rsidR="00B3576C">
        <w:t>priorities, in order to set future Council meeting agendas.</w:t>
      </w:r>
    </w:p>
    <w:p w14:paraId="2D05EEC2" w14:textId="6B4A91CB" w:rsidR="002812A2" w:rsidRPr="002812A2" w:rsidRDefault="002812A2" w:rsidP="006947AE">
      <w:pPr>
        <w:pBdr>
          <w:top w:val="nil"/>
          <w:left w:val="nil"/>
          <w:bottom w:val="nil"/>
          <w:right w:val="nil"/>
          <w:between w:val="nil"/>
          <w:bar w:val="nil"/>
        </w:pBdr>
        <w:spacing w:before="120" w:after="60"/>
      </w:pPr>
      <w:r w:rsidRPr="002812A2">
        <w:t xml:space="preserve">There are certain agenda items that we must </w:t>
      </w:r>
      <w:r w:rsidR="0081358C">
        <w:t>schedule for</w:t>
      </w:r>
      <w:r w:rsidRPr="002812A2">
        <w:t xml:space="preserve"> October</w:t>
      </w:r>
      <w:r w:rsidR="0081358C">
        <w:t xml:space="preserve"> 2020</w:t>
      </w:r>
      <w:r w:rsidRPr="002812A2">
        <w:t xml:space="preserve">: </w:t>
      </w:r>
    </w:p>
    <w:p w14:paraId="57A55CD8" w14:textId="2A42D59A" w:rsidR="002812A2" w:rsidRDefault="0081358C" w:rsidP="002812A2">
      <w:pPr>
        <w:pStyle w:val="ListParagraph"/>
        <w:numPr>
          <w:ilvl w:val="0"/>
          <w:numId w:val="26"/>
        </w:numPr>
        <w:pBdr>
          <w:top w:val="nil"/>
          <w:left w:val="nil"/>
          <w:bottom w:val="nil"/>
          <w:right w:val="nil"/>
          <w:between w:val="nil"/>
          <w:bar w:val="nil"/>
        </w:pBdr>
      </w:pPr>
      <w:r>
        <w:t xml:space="preserve">BSAI </w:t>
      </w:r>
      <w:r w:rsidR="002812A2">
        <w:t>crab specifications</w:t>
      </w:r>
    </w:p>
    <w:p w14:paraId="7DE7B889" w14:textId="3971711C" w:rsidR="002812A2" w:rsidRDefault="0081358C" w:rsidP="002812A2">
      <w:pPr>
        <w:pStyle w:val="ListParagraph"/>
        <w:numPr>
          <w:ilvl w:val="0"/>
          <w:numId w:val="26"/>
        </w:numPr>
        <w:pBdr>
          <w:top w:val="nil"/>
          <w:left w:val="nil"/>
          <w:bottom w:val="nil"/>
          <w:right w:val="nil"/>
          <w:between w:val="nil"/>
          <w:bar w:val="nil"/>
        </w:pBdr>
      </w:pPr>
      <w:r>
        <w:t xml:space="preserve">BSAI and GOA </w:t>
      </w:r>
      <w:r w:rsidR="002812A2">
        <w:t>groundfish proposed specifications</w:t>
      </w:r>
    </w:p>
    <w:p w14:paraId="3D9F5974" w14:textId="50C67E75" w:rsidR="002812A2" w:rsidRDefault="00481295" w:rsidP="002812A2">
      <w:pPr>
        <w:pStyle w:val="ListParagraph"/>
        <w:numPr>
          <w:ilvl w:val="0"/>
          <w:numId w:val="26"/>
        </w:numPr>
        <w:pBdr>
          <w:top w:val="nil"/>
          <w:left w:val="nil"/>
          <w:bottom w:val="nil"/>
          <w:right w:val="nil"/>
          <w:between w:val="nil"/>
          <w:bar w:val="nil"/>
        </w:pBdr>
      </w:pPr>
      <w:r>
        <w:t>R</w:t>
      </w:r>
      <w:r w:rsidR="002812A2">
        <w:t xml:space="preserve">eview </w:t>
      </w:r>
      <w:r>
        <w:t>of</w:t>
      </w:r>
      <w:r w:rsidR="002812A2">
        <w:t xml:space="preserve"> the 2021 ADP</w:t>
      </w:r>
    </w:p>
    <w:p w14:paraId="25379062" w14:textId="18737C86" w:rsidR="002812A2" w:rsidRDefault="00481295" w:rsidP="002812A2">
      <w:pPr>
        <w:pStyle w:val="ListParagraph"/>
        <w:numPr>
          <w:ilvl w:val="0"/>
          <w:numId w:val="26"/>
        </w:numPr>
        <w:pBdr>
          <w:top w:val="nil"/>
          <w:left w:val="nil"/>
          <w:bottom w:val="nil"/>
          <w:right w:val="nil"/>
          <w:between w:val="nil"/>
          <w:bar w:val="nil"/>
        </w:pBdr>
        <w:spacing w:after="60"/>
      </w:pPr>
      <w:r>
        <w:t>I</w:t>
      </w:r>
      <w:r w:rsidR="002812A2">
        <w:t>nitial review of the Cook Inlet Salmon FMP amendment</w:t>
      </w:r>
    </w:p>
    <w:p w14:paraId="5769E7B3" w14:textId="05623002" w:rsidR="00481295" w:rsidRDefault="00481295" w:rsidP="006947AE">
      <w:pPr>
        <w:pBdr>
          <w:top w:val="nil"/>
          <w:left w:val="nil"/>
          <w:bottom w:val="nil"/>
          <w:right w:val="nil"/>
          <w:between w:val="nil"/>
          <w:bar w:val="nil"/>
        </w:pBdr>
        <w:spacing w:before="120" w:after="60"/>
      </w:pPr>
      <w:r>
        <w:t>and for December 2020:</w:t>
      </w:r>
    </w:p>
    <w:p w14:paraId="22D865B7" w14:textId="7F6147B3" w:rsidR="00481295" w:rsidRDefault="00481295" w:rsidP="00481295">
      <w:pPr>
        <w:pStyle w:val="ListParagraph"/>
        <w:numPr>
          <w:ilvl w:val="0"/>
          <w:numId w:val="27"/>
        </w:numPr>
        <w:pBdr>
          <w:top w:val="nil"/>
          <w:left w:val="nil"/>
          <w:bottom w:val="nil"/>
          <w:right w:val="nil"/>
          <w:between w:val="nil"/>
          <w:bar w:val="nil"/>
        </w:pBdr>
        <w:spacing w:after="60"/>
      </w:pPr>
      <w:r>
        <w:t>BSAI and GOA groundfish specifications</w:t>
      </w:r>
    </w:p>
    <w:p w14:paraId="52089B15" w14:textId="6BA87C34" w:rsidR="00481295" w:rsidRDefault="00481295" w:rsidP="00481295">
      <w:pPr>
        <w:pStyle w:val="ListParagraph"/>
        <w:numPr>
          <w:ilvl w:val="0"/>
          <w:numId w:val="27"/>
        </w:numPr>
        <w:pBdr>
          <w:top w:val="nil"/>
          <w:left w:val="nil"/>
          <w:bottom w:val="nil"/>
          <w:right w:val="nil"/>
          <w:between w:val="nil"/>
          <w:bar w:val="nil"/>
        </w:pBdr>
        <w:spacing w:after="60"/>
      </w:pPr>
      <w:r>
        <w:t>Charter halibut management measures for 2021</w:t>
      </w:r>
    </w:p>
    <w:p w14:paraId="39B1B78D" w14:textId="52E20F84" w:rsidR="00481295" w:rsidRDefault="00481295" w:rsidP="00481295">
      <w:pPr>
        <w:pStyle w:val="ListParagraph"/>
        <w:numPr>
          <w:ilvl w:val="0"/>
          <w:numId w:val="27"/>
        </w:numPr>
        <w:pBdr>
          <w:top w:val="nil"/>
          <w:left w:val="nil"/>
          <w:bottom w:val="nil"/>
          <w:right w:val="nil"/>
          <w:between w:val="nil"/>
          <w:bar w:val="nil"/>
        </w:pBdr>
        <w:spacing w:after="60"/>
      </w:pPr>
      <w:r>
        <w:t>Final action for Cook Inlet Salmon FMP amendment.</w:t>
      </w:r>
    </w:p>
    <w:p w14:paraId="14227235" w14:textId="49B3BD6F" w:rsidR="00E72EE3" w:rsidRDefault="00E220B7" w:rsidP="0081358C">
      <w:pPr>
        <w:pBdr>
          <w:top w:val="nil"/>
          <w:left w:val="nil"/>
          <w:bottom w:val="nil"/>
          <w:right w:val="nil"/>
          <w:between w:val="nil"/>
          <w:bar w:val="nil"/>
        </w:pBdr>
        <w:spacing w:before="120"/>
      </w:pPr>
      <w:r>
        <w:rPr>
          <w:b/>
          <w:bCs/>
        </w:rPr>
        <w:t xml:space="preserve">The Executive Director and Council Chair </w:t>
      </w:r>
      <w:r w:rsidR="00B87730" w:rsidRPr="00BA6ABC">
        <w:rPr>
          <w:b/>
          <w:bCs/>
        </w:rPr>
        <w:t>are looking</w:t>
      </w:r>
      <w:r w:rsidR="002812A2" w:rsidRPr="00BA6ABC">
        <w:rPr>
          <w:b/>
          <w:bCs/>
        </w:rPr>
        <w:t xml:space="preserve"> for input from the Council </w:t>
      </w:r>
      <w:r w:rsidR="00B3576C" w:rsidRPr="00BA6ABC">
        <w:rPr>
          <w:b/>
          <w:bCs/>
        </w:rPr>
        <w:t>about</w:t>
      </w:r>
      <w:r w:rsidR="002812A2" w:rsidRPr="00BA6ABC">
        <w:rPr>
          <w:b/>
          <w:bCs/>
        </w:rPr>
        <w:t xml:space="preserve"> how to </w:t>
      </w:r>
      <w:r w:rsidR="00B3576C" w:rsidRPr="00BA6ABC">
        <w:rPr>
          <w:b/>
          <w:bCs/>
        </w:rPr>
        <w:t xml:space="preserve">prioritize and </w:t>
      </w:r>
      <w:r w:rsidR="002812A2" w:rsidRPr="00BA6ABC">
        <w:rPr>
          <w:b/>
          <w:bCs/>
        </w:rPr>
        <w:t>schedule the remaining items for October and beyon</w:t>
      </w:r>
      <w:r w:rsidR="0081358C" w:rsidRPr="00BA6ABC">
        <w:rPr>
          <w:b/>
          <w:bCs/>
        </w:rPr>
        <w:t>d</w:t>
      </w:r>
      <w:r w:rsidR="002812A2" w:rsidRPr="00BA6ABC">
        <w:rPr>
          <w:b/>
          <w:bCs/>
        </w:rPr>
        <w:t>.</w:t>
      </w:r>
      <w:r w:rsidR="002812A2">
        <w:t xml:space="preserve"> </w:t>
      </w:r>
      <w:r w:rsidR="00E9746E">
        <w:t>T</w:t>
      </w:r>
      <w:r w:rsidR="00644F7B">
        <w:t xml:space="preserve">o assist the Council with </w:t>
      </w:r>
      <w:r w:rsidR="002812A2">
        <w:t>this task</w:t>
      </w:r>
      <w:r w:rsidR="00644F7B">
        <w:t>, t</w:t>
      </w:r>
      <w:r w:rsidR="00E9746E">
        <w:t xml:space="preserve">he </w:t>
      </w:r>
      <w:r w:rsidR="00644F7B">
        <w:t xml:space="preserve">table </w:t>
      </w:r>
      <w:r w:rsidR="00D5365D">
        <w:t>below</w:t>
      </w:r>
      <w:r w:rsidR="00E72EE3">
        <w:t xml:space="preserve"> </w:t>
      </w:r>
      <w:r w:rsidR="00644F7B">
        <w:t xml:space="preserve">provides a status report on agenda items </w:t>
      </w:r>
      <w:r w:rsidR="00B056C4">
        <w:t>from</w:t>
      </w:r>
      <w:r w:rsidR="00E9746E">
        <w:t xml:space="preserve"> the </w:t>
      </w:r>
      <w:r w:rsidR="00644F7B">
        <w:t xml:space="preserve">3-meeting outlook, and an estimate of how much agenda time we would generally schedule for each item. </w:t>
      </w:r>
    </w:p>
    <w:p w14:paraId="295B8984" w14:textId="7ECCDC0A" w:rsidR="00BA07C3" w:rsidRDefault="00644F7B" w:rsidP="0081358C">
      <w:pPr>
        <w:pBdr>
          <w:top w:val="nil"/>
          <w:left w:val="nil"/>
          <w:bottom w:val="nil"/>
          <w:right w:val="nil"/>
          <w:between w:val="nil"/>
          <w:bar w:val="nil"/>
        </w:pBdr>
        <w:spacing w:before="120"/>
      </w:pPr>
      <w:r>
        <w:t>For reference, after time set aside for B reports, the SSC report in full, Executive Session, and staff tasking, a fully-scheduled 7-day Council meeting (Wednesday through Tuesday)</w:t>
      </w:r>
      <w:r w:rsidR="00E9746E">
        <w:t xml:space="preserve"> </w:t>
      </w:r>
      <w:r>
        <w:t>allows for approximately 4</w:t>
      </w:r>
      <w:r w:rsidR="00BA07C3">
        <w:t>3</w:t>
      </w:r>
      <w:r>
        <w:t xml:space="preserve"> hours of agenda time on C and D items. </w:t>
      </w:r>
      <w:r w:rsidR="0081358C">
        <w:t>The items listed above that must be taken up in October will account for approximately 11 hours of agenda time</w:t>
      </w:r>
      <w:r w:rsidR="00481295">
        <w:t>, and for December, will account for approximately 18 hours of agenda time</w:t>
      </w:r>
      <w:r w:rsidR="0081358C">
        <w:t xml:space="preserve">. </w:t>
      </w:r>
      <w:r>
        <w:t xml:space="preserve">As discussed in the </w:t>
      </w:r>
      <w:r w:rsidR="00E72EE3">
        <w:t xml:space="preserve">next </w:t>
      </w:r>
      <w:r>
        <w:t xml:space="preserve">section, if we hold the meeting virtually, we would </w:t>
      </w:r>
      <w:r w:rsidR="0081358C">
        <w:t xml:space="preserve">also </w:t>
      </w:r>
      <w:r>
        <w:t xml:space="preserve">potentially need to schedule shorter </w:t>
      </w:r>
      <w:r w:rsidR="00BA07C3">
        <w:t>and/</w:t>
      </w:r>
      <w:r>
        <w:t>or fewer meeting days, and build in some additional allowance for the longer time required with virtual discussion and testimony.</w:t>
      </w:r>
      <w:r w:rsidR="002812A2">
        <w:t xml:space="preserve"> </w:t>
      </w:r>
    </w:p>
    <w:p w14:paraId="6019E3B7" w14:textId="77777777" w:rsidR="00644F7B" w:rsidRDefault="00644F7B" w:rsidP="00644F7B">
      <w:pPr>
        <w:pBdr>
          <w:top w:val="nil"/>
          <w:left w:val="nil"/>
          <w:bottom w:val="nil"/>
          <w:right w:val="nil"/>
          <w:between w:val="nil"/>
          <w:bar w:val="nil"/>
        </w:pBdr>
      </w:pPr>
    </w:p>
    <w:tbl>
      <w:tblPr>
        <w:tblStyle w:val="ListTable7Colorful-Accent5"/>
        <w:tblW w:w="9445" w:type="dxa"/>
        <w:tblCellMar>
          <w:left w:w="29" w:type="dxa"/>
          <w:right w:w="29" w:type="dxa"/>
        </w:tblCellMar>
        <w:tblLook w:val="04A0" w:firstRow="1" w:lastRow="0" w:firstColumn="1" w:lastColumn="0" w:noHBand="0" w:noVBand="1"/>
      </w:tblPr>
      <w:tblGrid>
        <w:gridCol w:w="900"/>
        <w:gridCol w:w="2520"/>
        <w:gridCol w:w="1310"/>
        <w:gridCol w:w="3826"/>
        <w:gridCol w:w="889"/>
      </w:tblGrid>
      <w:tr w:rsidR="00C534BA" w:rsidRPr="006947AE" w14:paraId="671C5744" w14:textId="77777777" w:rsidTr="00D012F8">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900" w:type="dxa"/>
            <w:vAlign w:val="center"/>
          </w:tcPr>
          <w:p w14:paraId="596DF255" w14:textId="28B3C234" w:rsidR="002812A2" w:rsidRPr="00F43A8F" w:rsidRDefault="002812A2" w:rsidP="006947AE">
            <w:pPr>
              <w:keepNext/>
              <w:jc w:val="center"/>
              <w:rPr>
                <w:rFonts w:asciiTheme="minorHAnsi" w:hAnsiTheme="minorHAnsi" w:cstheme="minorHAnsi"/>
                <w:b/>
                <w:bCs/>
                <w:color w:val="auto"/>
                <w:sz w:val="20"/>
                <w:szCs w:val="20"/>
              </w:rPr>
            </w:pPr>
            <w:r w:rsidRPr="00F43A8F">
              <w:rPr>
                <w:rFonts w:asciiTheme="minorHAnsi" w:hAnsiTheme="minorHAnsi" w:cstheme="minorHAnsi"/>
                <w:b/>
                <w:bCs/>
                <w:color w:val="auto"/>
                <w:sz w:val="20"/>
                <w:szCs w:val="20"/>
              </w:rPr>
              <w:lastRenderedPageBreak/>
              <w:t>Type</w:t>
            </w:r>
          </w:p>
        </w:tc>
        <w:tc>
          <w:tcPr>
            <w:tcW w:w="2520" w:type="dxa"/>
            <w:vAlign w:val="center"/>
          </w:tcPr>
          <w:p w14:paraId="37A57D40" w14:textId="7C3A08BB" w:rsidR="002812A2" w:rsidRPr="00F43A8F" w:rsidRDefault="002812A2" w:rsidP="006947AE">
            <w:pPr>
              <w:keepN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color w:val="auto"/>
                <w:sz w:val="20"/>
                <w:szCs w:val="20"/>
              </w:rPr>
            </w:pPr>
            <w:r w:rsidRPr="00F43A8F">
              <w:rPr>
                <w:rFonts w:asciiTheme="minorHAnsi" w:hAnsiTheme="minorHAnsi" w:cstheme="minorHAnsi"/>
                <w:b/>
                <w:bCs/>
                <w:color w:val="auto"/>
                <w:sz w:val="20"/>
                <w:szCs w:val="20"/>
              </w:rPr>
              <w:t>Agenda item</w:t>
            </w:r>
          </w:p>
        </w:tc>
        <w:tc>
          <w:tcPr>
            <w:tcW w:w="1310" w:type="dxa"/>
            <w:vAlign w:val="center"/>
          </w:tcPr>
          <w:p w14:paraId="62C2DA89" w14:textId="77777777" w:rsidR="002812A2" w:rsidRPr="00F43A8F" w:rsidRDefault="002812A2" w:rsidP="006947AE">
            <w:pPr>
              <w:keepN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color w:val="auto"/>
                <w:sz w:val="20"/>
                <w:szCs w:val="20"/>
              </w:rPr>
            </w:pPr>
            <w:r w:rsidRPr="00F43A8F">
              <w:rPr>
                <w:rFonts w:asciiTheme="minorHAnsi" w:hAnsiTheme="minorHAnsi" w:cstheme="minorHAnsi"/>
                <w:b/>
                <w:bCs/>
                <w:color w:val="auto"/>
                <w:sz w:val="20"/>
                <w:szCs w:val="20"/>
              </w:rPr>
              <w:t>Originally scheduled for</w:t>
            </w:r>
          </w:p>
        </w:tc>
        <w:tc>
          <w:tcPr>
            <w:tcW w:w="3826" w:type="dxa"/>
            <w:vAlign w:val="center"/>
          </w:tcPr>
          <w:p w14:paraId="6846B540" w14:textId="34BCBB24" w:rsidR="003A23EC" w:rsidRPr="00F43A8F" w:rsidRDefault="002812A2" w:rsidP="006947AE">
            <w:pPr>
              <w:keepN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color w:val="auto"/>
                <w:sz w:val="20"/>
                <w:szCs w:val="20"/>
              </w:rPr>
            </w:pPr>
            <w:r w:rsidRPr="00F43A8F">
              <w:rPr>
                <w:rFonts w:asciiTheme="minorHAnsi" w:hAnsiTheme="minorHAnsi" w:cstheme="minorHAnsi"/>
                <w:b/>
                <w:bCs/>
                <w:color w:val="auto"/>
                <w:sz w:val="20"/>
                <w:szCs w:val="20"/>
              </w:rPr>
              <w:t>Status report</w:t>
            </w:r>
          </w:p>
        </w:tc>
        <w:tc>
          <w:tcPr>
            <w:tcW w:w="889" w:type="dxa"/>
            <w:vAlign w:val="center"/>
          </w:tcPr>
          <w:p w14:paraId="7BA43F46" w14:textId="35401FE7" w:rsidR="002812A2" w:rsidRPr="00F43A8F" w:rsidRDefault="002812A2" w:rsidP="006947AE">
            <w:pPr>
              <w:keepNext/>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color w:val="auto"/>
                <w:sz w:val="20"/>
                <w:szCs w:val="20"/>
              </w:rPr>
            </w:pPr>
            <w:r w:rsidRPr="00F43A8F">
              <w:rPr>
                <w:rFonts w:asciiTheme="minorHAnsi" w:hAnsiTheme="minorHAnsi" w:cstheme="minorHAnsi"/>
                <w:b/>
                <w:bCs/>
                <w:color w:val="auto"/>
                <w:sz w:val="20"/>
                <w:szCs w:val="20"/>
              </w:rPr>
              <w:t>Approx</w:t>
            </w:r>
            <w:r w:rsidR="00C534BA" w:rsidRPr="00F43A8F">
              <w:rPr>
                <w:rFonts w:asciiTheme="minorHAnsi" w:hAnsiTheme="minorHAnsi" w:cstheme="minorHAnsi"/>
                <w:b/>
                <w:bCs/>
                <w:color w:val="auto"/>
                <w:sz w:val="20"/>
                <w:szCs w:val="20"/>
              </w:rPr>
              <w:t>.</w:t>
            </w:r>
            <w:r w:rsidRPr="00F43A8F">
              <w:rPr>
                <w:rFonts w:asciiTheme="minorHAnsi" w:hAnsiTheme="minorHAnsi" w:cstheme="minorHAnsi"/>
                <w:b/>
                <w:bCs/>
                <w:color w:val="auto"/>
                <w:sz w:val="20"/>
                <w:szCs w:val="20"/>
              </w:rPr>
              <w:t xml:space="preserve"> time</w:t>
            </w:r>
          </w:p>
        </w:tc>
      </w:tr>
      <w:tr w:rsidR="00C534BA" w:rsidRPr="006947AE" w14:paraId="08BACB0D" w14:textId="77777777" w:rsidTr="00D012F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0" w:type="dxa"/>
            <w:tcBorders>
              <w:top w:val="single" w:sz="4" w:space="0" w:color="5B9BD5" w:themeColor="accent5"/>
              <w:bottom w:val="single" w:sz="4" w:space="0" w:color="5B9BD5" w:themeColor="accent5"/>
            </w:tcBorders>
          </w:tcPr>
          <w:p w14:paraId="2525E63F" w14:textId="5B7ADA26" w:rsidR="002812A2" w:rsidRPr="006947AE" w:rsidRDefault="002812A2" w:rsidP="006947AE">
            <w:pPr>
              <w:keepNext/>
              <w:jc w:val="left"/>
              <w:rPr>
                <w:rFonts w:asciiTheme="minorHAnsi" w:hAnsiTheme="minorHAnsi" w:cstheme="minorHAnsi"/>
                <w:color w:val="auto"/>
                <w:sz w:val="18"/>
                <w:szCs w:val="18"/>
              </w:rPr>
            </w:pPr>
            <w:r w:rsidRPr="006947AE">
              <w:rPr>
                <w:rFonts w:asciiTheme="minorHAnsi" w:hAnsiTheme="minorHAnsi" w:cstheme="minorHAnsi"/>
                <w:color w:val="auto"/>
                <w:sz w:val="18"/>
                <w:szCs w:val="18"/>
              </w:rPr>
              <w:t>Final action</w:t>
            </w:r>
          </w:p>
        </w:tc>
        <w:tc>
          <w:tcPr>
            <w:tcW w:w="2520" w:type="dxa"/>
          </w:tcPr>
          <w:p w14:paraId="39FECAA4" w14:textId="568A21DB" w:rsidR="002812A2" w:rsidRPr="006947AE" w:rsidRDefault="002812A2" w:rsidP="006947AE">
            <w:pP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Squid/Sculpin product types</w:t>
            </w:r>
          </w:p>
        </w:tc>
        <w:tc>
          <w:tcPr>
            <w:tcW w:w="1310" w:type="dxa"/>
          </w:tcPr>
          <w:p w14:paraId="7EB0C18D" w14:textId="3AC74A12" w:rsidR="002812A2" w:rsidRPr="006947AE" w:rsidRDefault="002812A2" w:rsidP="006947AE">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Apr</w:t>
            </w:r>
            <w:r w:rsidR="00E51EDE">
              <w:rPr>
                <w:rFonts w:asciiTheme="minorHAnsi" w:hAnsiTheme="minorHAnsi" w:cstheme="minorHAnsi"/>
                <w:color w:val="auto"/>
                <w:sz w:val="18"/>
                <w:szCs w:val="18"/>
              </w:rPr>
              <w:t xml:space="preserve"> 2020</w:t>
            </w:r>
          </w:p>
        </w:tc>
        <w:tc>
          <w:tcPr>
            <w:tcW w:w="3826" w:type="dxa"/>
          </w:tcPr>
          <w:p w14:paraId="5DFE4577" w14:textId="1CB00626" w:rsidR="002812A2" w:rsidRPr="006947AE" w:rsidRDefault="00C677A6" w:rsidP="006947AE">
            <w:pP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 xml:space="preserve">Analysis is finished. </w:t>
            </w:r>
          </w:p>
        </w:tc>
        <w:tc>
          <w:tcPr>
            <w:tcW w:w="889" w:type="dxa"/>
          </w:tcPr>
          <w:p w14:paraId="7EBBE12F" w14:textId="723864BB" w:rsidR="002812A2" w:rsidRPr="006947AE" w:rsidRDefault="00ED251B" w:rsidP="006947AE">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18"/>
              </w:rPr>
            </w:pPr>
            <w:r>
              <w:rPr>
                <w:rFonts w:asciiTheme="minorHAnsi" w:hAnsiTheme="minorHAnsi" w:cstheme="minorHAnsi"/>
                <w:color w:val="auto"/>
                <w:sz w:val="18"/>
                <w:szCs w:val="18"/>
              </w:rPr>
              <w:t>2</w:t>
            </w:r>
          </w:p>
        </w:tc>
      </w:tr>
      <w:tr w:rsidR="00C534BA" w:rsidRPr="006947AE" w14:paraId="22819860" w14:textId="77777777" w:rsidTr="00D012F8">
        <w:trPr>
          <w:cantSplit/>
        </w:trPr>
        <w:tc>
          <w:tcPr>
            <w:cnfStyle w:val="001000000000" w:firstRow="0" w:lastRow="0" w:firstColumn="1" w:lastColumn="0" w:oddVBand="0" w:evenVBand="0" w:oddHBand="0" w:evenHBand="0" w:firstRowFirstColumn="0" w:firstRowLastColumn="0" w:lastRowFirstColumn="0" w:lastRowLastColumn="0"/>
            <w:tcW w:w="900" w:type="dxa"/>
            <w:vMerge w:val="restart"/>
            <w:tcBorders>
              <w:top w:val="single" w:sz="4" w:space="0" w:color="5B9BD5" w:themeColor="accent5"/>
            </w:tcBorders>
          </w:tcPr>
          <w:p w14:paraId="2EDB93B4" w14:textId="59A35FDC" w:rsidR="00D726F9" w:rsidRPr="006947AE" w:rsidRDefault="00D726F9" w:rsidP="006947AE">
            <w:pPr>
              <w:keepNext/>
              <w:jc w:val="left"/>
              <w:rPr>
                <w:rFonts w:asciiTheme="minorHAnsi" w:hAnsiTheme="minorHAnsi" w:cstheme="minorHAnsi"/>
                <w:color w:val="auto"/>
                <w:sz w:val="18"/>
                <w:szCs w:val="18"/>
              </w:rPr>
            </w:pPr>
            <w:r w:rsidRPr="006947AE">
              <w:rPr>
                <w:rFonts w:asciiTheme="minorHAnsi" w:hAnsiTheme="minorHAnsi" w:cstheme="minorHAnsi"/>
                <w:color w:val="auto"/>
                <w:sz w:val="18"/>
                <w:szCs w:val="18"/>
              </w:rPr>
              <w:t>Initial Review</w:t>
            </w:r>
          </w:p>
        </w:tc>
        <w:tc>
          <w:tcPr>
            <w:tcW w:w="2520" w:type="dxa"/>
          </w:tcPr>
          <w:p w14:paraId="38BE1C7C" w14:textId="071E882B" w:rsidR="00D726F9" w:rsidRPr="006947AE" w:rsidRDefault="00D726F9" w:rsidP="006947AE">
            <w:pPr>
              <w:keepN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BSAI Pcod pot CP</w:t>
            </w:r>
          </w:p>
        </w:tc>
        <w:tc>
          <w:tcPr>
            <w:tcW w:w="1310" w:type="dxa"/>
          </w:tcPr>
          <w:p w14:paraId="70578E72" w14:textId="0B042B7C" w:rsidR="00D726F9" w:rsidRPr="006947AE" w:rsidRDefault="00D726F9" w:rsidP="006947AE">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Apr</w:t>
            </w:r>
            <w:r w:rsidR="00E51EDE">
              <w:rPr>
                <w:rFonts w:asciiTheme="minorHAnsi" w:hAnsiTheme="minorHAnsi" w:cstheme="minorHAnsi"/>
                <w:color w:val="auto"/>
                <w:sz w:val="18"/>
                <w:szCs w:val="18"/>
              </w:rPr>
              <w:t xml:space="preserve"> 2020</w:t>
            </w:r>
          </w:p>
        </w:tc>
        <w:tc>
          <w:tcPr>
            <w:tcW w:w="3826" w:type="dxa"/>
          </w:tcPr>
          <w:p w14:paraId="6A009D9A" w14:textId="4E41811D" w:rsidR="00D726F9" w:rsidRPr="006947AE" w:rsidRDefault="00D726F9" w:rsidP="006947AE">
            <w:pPr>
              <w:keepN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 xml:space="preserve">Analysis </w:t>
            </w:r>
            <w:r w:rsidR="0004310A">
              <w:rPr>
                <w:rFonts w:asciiTheme="minorHAnsi" w:hAnsiTheme="minorHAnsi" w:cstheme="minorHAnsi"/>
                <w:color w:val="auto"/>
                <w:sz w:val="18"/>
                <w:szCs w:val="18"/>
              </w:rPr>
              <w:t>is finished</w:t>
            </w:r>
            <w:r w:rsidRPr="006947AE">
              <w:rPr>
                <w:rFonts w:asciiTheme="minorHAnsi" w:hAnsiTheme="minorHAnsi" w:cstheme="minorHAnsi"/>
                <w:color w:val="auto"/>
                <w:sz w:val="18"/>
                <w:szCs w:val="18"/>
              </w:rPr>
              <w:t xml:space="preserve">. </w:t>
            </w:r>
          </w:p>
        </w:tc>
        <w:tc>
          <w:tcPr>
            <w:tcW w:w="889" w:type="dxa"/>
          </w:tcPr>
          <w:p w14:paraId="34AB1641" w14:textId="31252ABA" w:rsidR="00D726F9" w:rsidRPr="006947AE" w:rsidRDefault="00D726F9" w:rsidP="006947AE">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3</w:t>
            </w:r>
          </w:p>
        </w:tc>
      </w:tr>
      <w:tr w:rsidR="00C534BA" w:rsidRPr="006947AE" w14:paraId="2D07666B" w14:textId="77777777" w:rsidTr="00D012F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0" w:type="dxa"/>
            <w:vMerge/>
          </w:tcPr>
          <w:p w14:paraId="307B671A" w14:textId="495EEC7D" w:rsidR="00D726F9" w:rsidRPr="006947AE" w:rsidRDefault="00D726F9" w:rsidP="006947AE">
            <w:pPr>
              <w:keepNext/>
              <w:jc w:val="left"/>
              <w:rPr>
                <w:rFonts w:asciiTheme="minorHAnsi" w:hAnsiTheme="minorHAnsi" w:cstheme="minorHAnsi"/>
                <w:color w:val="auto"/>
                <w:sz w:val="18"/>
                <w:szCs w:val="18"/>
              </w:rPr>
            </w:pPr>
          </w:p>
        </w:tc>
        <w:tc>
          <w:tcPr>
            <w:tcW w:w="2520" w:type="dxa"/>
          </w:tcPr>
          <w:p w14:paraId="454CA8D7" w14:textId="47BBA70D" w:rsidR="00D726F9" w:rsidRPr="006947AE" w:rsidRDefault="00D726F9" w:rsidP="006947AE">
            <w:pP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BSAI Pcod Trawl CV LAPP</w:t>
            </w:r>
          </w:p>
        </w:tc>
        <w:tc>
          <w:tcPr>
            <w:tcW w:w="1310" w:type="dxa"/>
          </w:tcPr>
          <w:p w14:paraId="1749D020" w14:textId="2E326E0D" w:rsidR="00D726F9" w:rsidRPr="006947AE" w:rsidRDefault="00D726F9" w:rsidP="006947AE">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Jun</w:t>
            </w:r>
            <w:r w:rsidR="00E51EDE">
              <w:rPr>
                <w:rFonts w:asciiTheme="minorHAnsi" w:hAnsiTheme="minorHAnsi" w:cstheme="minorHAnsi"/>
                <w:color w:val="auto"/>
                <w:sz w:val="18"/>
                <w:szCs w:val="18"/>
              </w:rPr>
              <w:t xml:space="preserve"> 2020</w:t>
            </w:r>
            <w:r w:rsidRPr="006947AE">
              <w:rPr>
                <w:rFonts w:asciiTheme="minorHAnsi" w:hAnsiTheme="minorHAnsi" w:cstheme="minorHAnsi"/>
                <w:color w:val="auto"/>
                <w:sz w:val="18"/>
                <w:szCs w:val="18"/>
              </w:rPr>
              <w:t xml:space="preserve"> (prelim)</w:t>
            </w:r>
          </w:p>
          <w:p w14:paraId="28F6117B" w14:textId="305A50DF" w:rsidR="00D726F9" w:rsidRPr="006947AE" w:rsidRDefault="00D726F9" w:rsidP="006947AE">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 xml:space="preserve">Oct </w:t>
            </w:r>
            <w:r w:rsidR="00E51EDE">
              <w:rPr>
                <w:rFonts w:asciiTheme="minorHAnsi" w:hAnsiTheme="minorHAnsi" w:cstheme="minorHAnsi"/>
                <w:color w:val="auto"/>
                <w:sz w:val="18"/>
                <w:szCs w:val="18"/>
              </w:rPr>
              <w:t>2020</w:t>
            </w:r>
            <w:r w:rsidR="00E51EDE" w:rsidRPr="006947AE">
              <w:rPr>
                <w:rFonts w:asciiTheme="minorHAnsi" w:hAnsiTheme="minorHAnsi" w:cstheme="minorHAnsi"/>
                <w:color w:val="auto"/>
                <w:sz w:val="18"/>
                <w:szCs w:val="18"/>
              </w:rPr>
              <w:t xml:space="preserve"> </w:t>
            </w:r>
            <w:r w:rsidRPr="006947AE">
              <w:rPr>
                <w:rFonts w:asciiTheme="minorHAnsi" w:hAnsiTheme="minorHAnsi" w:cstheme="minorHAnsi"/>
                <w:color w:val="auto"/>
                <w:sz w:val="18"/>
                <w:szCs w:val="18"/>
              </w:rPr>
              <w:t>(initial)</w:t>
            </w:r>
          </w:p>
        </w:tc>
        <w:tc>
          <w:tcPr>
            <w:tcW w:w="3826" w:type="dxa"/>
          </w:tcPr>
          <w:p w14:paraId="03095934" w14:textId="2CB39C3D" w:rsidR="00D726F9" w:rsidRPr="006947AE" w:rsidRDefault="00D726F9" w:rsidP="006947AE">
            <w:pP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 xml:space="preserve">Analysis underway by Council/AKR staff and contractor, </w:t>
            </w:r>
            <w:r w:rsidR="006D2C4E">
              <w:rPr>
                <w:rFonts w:asciiTheme="minorHAnsi" w:hAnsiTheme="minorHAnsi" w:cstheme="minorHAnsi"/>
                <w:color w:val="auto"/>
                <w:sz w:val="18"/>
                <w:szCs w:val="18"/>
              </w:rPr>
              <w:t>large workload</w:t>
            </w:r>
            <w:r w:rsidRPr="006947AE">
              <w:rPr>
                <w:rFonts w:asciiTheme="minorHAnsi" w:hAnsiTheme="minorHAnsi" w:cstheme="minorHAnsi"/>
                <w:color w:val="auto"/>
                <w:sz w:val="18"/>
                <w:szCs w:val="18"/>
              </w:rPr>
              <w:t xml:space="preserve">. Preliminary review unnecessary, but due to staff assumptions, Council may request a second initial review before moving to final action. </w:t>
            </w:r>
          </w:p>
        </w:tc>
        <w:tc>
          <w:tcPr>
            <w:tcW w:w="889" w:type="dxa"/>
          </w:tcPr>
          <w:p w14:paraId="18AFD83D" w14:textId="4B63C4B4" w:rsidR="00D726F9" w:rsidRPr="006947AE" w:rsidRDefault="00ED251B" w:rsidP="006947AE">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18"/>
              </w:rPr>
            </w:pPr>
            <w:r>
              <w:rPr>
                <w:rFonts w:asciiTheme="minorHAnsi" w:hAnsiTheme="minorHAnsi" w:cstheme="minorHAnsi"/>
                <w:color w:val="auto"/>
                <w:sz w:val="18"/>
                <w:szCs w:val="18"/>
              </w:rPr>
              <w:t>16</w:t>
            </w:r>
          </w:p>
        </w:tc>
      </w:tr>
      <w:tr w:rsidR="00C534BA" w:rsidRPr="006947AE" w14:paraId="5BB81CBF" w14:textId="77777777" w:rsidTr="00D012F8">
        <w:trPr>
          <w:cantSplit/>
        </w:trPr>
        <w:tc>
          <w:tcPr>
            <w:cnfStyle w:val="001000000000" w:firstRow="0" w:lastRow="0" w:firstColumn="1" w:lastColumn="0" w:oddVBand="0" w:evenVBand="0" w:oddHBand="0" w:evenHBand="0" w:firstRowFirstColumn="0" w:firstRowLastColumn="0" w:lastRowFirstColumn="0" w:lastRowLastColumn="0"/>
            <w:tcW w:w="900" w:type="dxa"/>
            <w:vMerge/>
          </w:tcPr>
          <w:p w14:paraId="723F3B23" w14:textId="77777777" w:rsidR="00D726F9" w:rsidRPr="006947AE" w:rsidRDefault="00D726F9" w:rsidP="006947AE">
            <w:pPr>
              <w:keepNext/>
              <w:jc w:val="left"/>
              <w:rPr>
                <w:rFonts w:asciiTheme="minorHAnsi" w:hAnsiTheme="minorHAnsi" w:cstheme="minorHAnsi"/>
                <w:color w:val="auto"/>
                <w:sz w:val="18"/>
                <w:szCs w:val="18"/>
              </w:rPr>
            </w:pPr>
          </w:p>
        </w:tc>
        <w:tc>
          <w:tcPr>
            <w:tcW w:w="2520" w:type="dxa"/>
          </w:tcPr>
          <w:p w14:paraId="0D85B75B" w14:textId="77777777" w:rsidR="00D726F9" w:rsidRPr="006947AE" w:rsidRDefault="00D726F9" w:rsidP="006947AE">
            <w:pPr>
              <w:keepN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 xml:space="preserve">BSAI Halibut ABM </w:t>
            </w:r>
          </w:p>
          <w:p w14:paraId="0FF0E194" w14:textId="3454E13C" w:rsidR="00D726F9" w:rsidRPr="006947AE" w:rsidRDefault="00D726F9" w:rsidP="006947AE">
            <w:pPr>
              <w:keepN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(two independent components: discussion paper and analysis)</w:t>
            </w:r>
          </w:p>
        </w:tc>
        <w:tc>
          <w:tcPr>
            <w:tcW w:w="1310" w:type="dxa"/>
          </w:tcPr>
          <w:p w14:paraId="44F079E4" w14:textId="3CC3CE4B" w:rsidR="00D726F9" w:rsidRPr="006947AE" w:rsidRDefault="00D726F9" w:rsidP="006947AE">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Jun</w:t>
            </w:r>
            <w:r w:rsidR="00E51EDE">
              <w:rPr>
                <w:rFonts w:asciiTheme="minorHAnsi" w:hAnsiTheme="minorHAnsi" w:cstheme="minorHAnsi"/>
                <w:color w:val="auto"/>
                <w:sz w:val="18"/>
                <w:szCs w:val="18"/>
              </w:rPr>
              <w:t xml:space="preserve"> 2020</w:t>
            </w:r>
            <w:r w:rsidRPr="006947AE">
              <w:rPr>
                <w:rFonts w:asciiTheme="minorHAnsi" w:hAnsiTheme="minorHAnsi" w:cstheme="minorHAnsi"/>
                <w:color w:val="auto"/>
                <w:sz w:val="18"/>
                <w:szCs w:val="18"/>
              </w:rPr>
              <w:t xml:space="preserve"> (DP)</w:t>
            </w:r>
          </w:p>
          <w:p w14:paraId="270AA1EA" w14:textId="7DBF6EA4" w:rsidR="00D726F9" w:rsidRPr="006947AE" w:rsidRDefault="00D726F9" w:rsidP="006947AE">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 xml:space="preserve">Oct </w:t>
            </w:r>
            <w:r w:rsidR="00E51EDE">
              <w:rPr>
                <w:rFonts w:asciiTheme="minorHAnsi" w:hAnsiTheme="minorHAnsi" w:cstheme="minorHAnsi"/>
                <w:color w:val="auto"/>
                <w:sz w:val="18"/>
                <w:szCs w:val="18"/>
              </w:rPr>
              <w:t>2020</w:t>
            </w:r>
            <w:r w:rsidR="00E51EDE" w:rsidRPr="006947AE">
              <w:rPr>
                <w:rFonts w:asciiTheme="minorHAnsi" w:hAnsiTheme="minorHAnsi" w:cstheme="minorHAnsi"/>
                <w:color w:val="auto"/>
                <w:sz w:val="18"/>
                <w:szCs w:val="18"/>
              </w:rPr>
              <w:t xml:space="preserve"> </w:t>
            </w:r>
            <w:r w:rsidRPr="006947AE">
              <w:rPr>
                <w:rFonts w:asciiTheme="minorHAnsi" w:hAnsiTheme="minorHAnsi" w:cstheme="minorHAnsi"/>
                <w:color w:val="auto"/>
                <w:sz w:val="18"/>
                <w:szCs w:val="18"/>
              </w:rPr>
              <w:t>(analysis)</w:t>
            </w:r>
          </w:p>
        </w:tc>
        <w:tc>
          <w:tcPr>
            <w:tcW w:w="3826" w:type="dxa"/>
          </w:tcPr>
          <w:p w14:paraId="5DF25BDB" w14:textId="23524981" w:rsidR="00D726F9" w:rsidRPr="006947AE" w:rsidRDefault="00D726F9" w:rsidP="006947AE">
            <w:pPr>
              <w:keepN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 xml:space="preserve">Discussion paper and analysis are both underway, </w:t>
            </w:r>
            <w:r w:rsidR="006D2C4E">
              <w:rPr>
                <w:rFonts w:asciiTheme="minorHAnsi" w:hAnsiTheme="minorHAnsi" w:cstheme="minorHAnsi"/>
                <w:color w:val="auto"/>
                <w:sz w:val="18"/>
                <w:szCs w:val="18"/>
              </w:rPr>
              <w:t>large workload</w:t>
            </w:r>
            <w:r w:rsidRPr="006947AE">
              <w:rPr>
                <w:rFonts w:asciiTheme="minorHAnsi" w:hAnsiTheme="minorHAnsi" w:cstheme="minorHAnsi"/>
                <w:color w:val="auto"/>
                <w:sz w:val="18"/>
                <w:szCs w:val="18"/>
              </w:rPr>
              <w:t>. Workproducts will not be integrated. Analysis requires AFSC staff for modeling work before impacts can be written.</w:t>
            </w:r>
          </w:p>
        </w:tc>
        <w:tc>
          <w:tcPr>
            <w:tcW w:w="889" w:type="dxa"/>
          </w:tcPr>
          <w:p w14:paraId="35BAD632" w14:textId="4DB114C8" w:rsidR="00D726F9" w:rsidRPr="006947AE" w:rsidRDefault="00E51EDE" w:rsidP="006947AE">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Pr>
                <w:rFonts w:asciiTheme="minorHAnsi" w:hAnsiTheme="minorHAnsi" w:cstheme="minorHAnsi"/>
                <w:color w:val="auto"/>
                <w:sz w:val="18"/>
                <w:szCs w:val="18"/>
              </w:rPr>
              <w:t>12</w:t>
            </w:r>
          </w:p>
        </w:tc>
      </w:tr>
      <w:tr w:rsidR="00C534BA" w:rsidRPr="006947AE" w14:paraId="7E126646" w14:textId="77777777" w:rsidTr="00D012F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0" w:type="dxa"/>
          </w:tcPr>
          <w:p w14:paraId="0A2B054C" w14:textId="68187921" w:rsidR="00D726F9" w:rsidRPr="006947AE" w:rsidRDefault="00D726F9" w:rsidP="006947AE">
            <w:pPr>
              <w:keepNext/>
              <w:jc w:val="left"/>
              <w:rPr>
                <w:rFonts w:asciiTheme="minorHAnsi" w:hAnsiTheme="minorHAnsi" w:cstheme="minorHAnsi"/>
                <w:color w:val="auto"/>
                <w:sz w:val="18"/>
                <w:szCs w:val="18"/>
              </w:rPr>
            </w:pPr>
          </w:p>
        </w:tc>
        <w:tc>
          <w:tcPr>
            <w:tcW w:w="2520" w:type="dxa"/>
          </w:tcPr>
          <w:p w14:paraId="2A416AF1" w14:textId="5F19ED26" w:rsidR="00D726F9" w:rsidRPr="006947AE" w:rsidRDefault="00D726F9" w:rsidP="006947AE">
            <w:pP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SBRM amendments (recommending initial/final in single meeting)</w:t>
            </w:r>
          </w:p>
        </w:tc>
        <w:tc>
          <w:tcPr>
            <w:tcW w:w="1310" w:type="dxa"/>
          </w:tcPr>
          <w:p w14:paraId="71A845CD" w14:textId="2F0979AD" w:rsidR="00D726F9" w:rsidRPr="006947AE" w:rsidRDefault="00D726F9" w:rsidP="006947AE">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Jun</w:t>
            </w:r>
            <w:r w:rsidR="00E51EDE">
              <w:rPr>
                <w:rFonts w:asciiTheme="minorHAnsi" w:hAnsiTheme="minorHAnsi" w:cstheme="minorHAnsi"/>
                <w:color w:val="auto"/>
                <w:sz w:val="18"/>
                <w:szCs w:val="18"/>
              </w:rPr>
              <w:t xml:space="preserve"> 2020</w:t>
            </w:r>
            <w:r w:rsidRPr="006947AE">
              <w:rPr>
                <w:rFonts w:asciiTheme="minorHAnsi" w:hAnsiTheme="minorHAnsi" w:cstheme="minorHAnsi"/>
                <w:color w:val="auto"/>
                <w:sz w:val="18"/>
                <w:szCs w:val="18"/>
              </w:rPr>
              <w:t xml:space="preserve"> (initial)</w:t>
            </w:r>
          </w:p>
          <w:p w14:paraId="2AB071E6" w14:textId="526B22D0" w:rsidR="00D726F9" w:rsidRPr="006947AE" w:rsidRDefault="00D726F9" w:rsidP="006947AE">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 xml:space="preserve">Oct </w:t>
            </w:r>
            <w:r w:rsidR="00E51EDE">
              <w:rPr>
                <w:rFonts w:asciiTheme="minorHAnsi" w:hAnsiTheme="minorHAnsi" w:cstheme="minorHAnsi"/>
                <w:color w:val="auto"/>
                <w:sz w:val="18"/>
                <w:szCs w:val="18"/>
              </w:rPr>
              <w:t>2020</w:t>
            </w:r>
            <w:r w:rsidR="00E51EDE" w:rsidRPr="006947AE">
              <w:rPr>
                <w:rFonts w:asciiTheme="minorHAnsi" w:hAnsiTheme="minorHAnsi" w:cstheme="minorHAnsi"/>
                <w:color w:val="auto"/>
                <w:sz w:val="18"/>
                <w:szCs w:val="18"/>
              </w:rPr>
              <w:t xml:space="preserve"> </w:t>
            </w:r>
            <w:r w:rsidRPr="006947AE">
              <w:rPr>
                <w:rFonts w:asciiTheme="minorHAnsi" w:hAnsiTheme="minorHAnsi" w:cstheme="minorHAnsi"/>
                <w:color w:val="auto"/>
                <w:sz w:val="18"/>
                <w:szCs w:val="18"/>
              </w:rPr>
              <w:t>(final)</w:t>
            </w:r>
          </w:p>
        </w:tc>
        <w:tc>
          <w:tcPr>
            <w:tcW w:w="3826" w:type="dxa"/>
          </w:tcPr>
          <w:p w14:paraId="4E0E4FEF" w14:textId="77672ECF" w:rsidR="00D726F9" w:rsidRPr="006947AE" w:rsidRDefault="00D726F9" w:rsidP="006947AE">
            <w:pP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 xml:space="preserve">Much of analytical work was included in discussion paper. Coordination still needed with ADFG to finalize analysis. </w:t>
            </w:r>
          </w:p>
        </w:tc>
        <w:tc>
          <w:tcPr>
            <w:tcW w:w="889" w:type="dxa"/>
          </w:tcPr>
          <w:p w14:paraId="161D5353" w14:textId="1603066C" w:rsidR="00D726F9" w:rsidRPr="006947AE" w:rsidRDefault="00D726F9" w:rsidP="006947AE">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3</w:t>
            </w:r>
          </w:p>
        </w:tc>
      </w:tr>
      <w:tr w:rsidR="00B3576C" w:rsidRPr="006947AE" w14:paraId="5CF2C21C" w14:textId="77777777" w:rsidTr="00D012F8">
        <w:trPr>
          <w:cantSplit/>
        </w:trPr>
        <w:tc>
          <w:tcPr>
            <w:cnfStyle w:val="001000000000" w:firstRow="0" w:lastRow="0" w:firstColumn="1" w:lastColumn="0" w:oddVBand="0" w:evenVBand="0" w:oddHBand="0" w:evenHBand="0" w:firstRowFirstColumn="0" w:firstRowLastColumn="0" w:lastRowFirstColumn="0" w:lastRowLastColumn="0"/>
            <w:tcW w:w="900" w:type="dxa"/>
            <w:vMerge w:val="restart"/>
          </w:tcPr>
          <w:p w14:paraId="059B519F" w14:textId="282C1327" w:rsidR="00B3576C" w:rsidRPr="006947AE" w:rsidRDefault="00B3576C" w:rsidP="006947AE">
            <w:pPr>
              <w:keepNext/>
              <w:jc w:val="left"/>
              <w:rPr>
                <w:rFonts w:asciiTheme="minorHAnsi" w:hAnsiTheme="minorHAnsi" w:cstheme="minorHAnsi"/>
                <w:color w:val="auto"/>
                <w:sz w:val="18"/>
                <w:szCs w:val="18"/>
              </w:rPr>
            </w:pPr>
          </w:p>
        </w:tc>
        <w:tc>
          <w:tcPr>
            <w:tcW w:w="2520" w:type="dxa"/>
          </w:tcPr>
          <w:p w14:paraId="3296FF54" w14:textId="16154194" w:rsidR="00B3576C" w:rsidRPr="006947AE" w:rsidRDefault="00B3576C" w:rsidP="006947AE">
            <w:pPr>
              <w:keepN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Small sablefish release</w:t>
            </w:r>
          </w:p>
        </w:tc>
        <w:tc>
          <w:tcPr>
            <w:tcW w:w="1310" w:type="dxa"/>
          </w:tcPr>
          <w:p w14:paraId="65CE06B1" w14:textId="0DB7F052" w:rsidR="00B3576C" w:rsidRPr="006947AE" w:rsidRDefault="00B3576C" w:rsidP="006947AE">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Oct</w:t>
            </w:r>
            <w:r w:rsidR="00E51EDE">
              <w:rPr>
                <w:rFonts w:asciiTheme="minorHAnsi" w:hAnsiTheme="minorHAnsi" w:cstheme="minorHAnsi"/>
                <w:color w:val="auto"/>
                <w:sz w:val="18"/>
                <w:szCs w:val="18"/>
              </w:rPr>
              <w:t xml:space="preserve"> 2020</w:t>
            </w:r>
          </w:p>
        </w:tc>
        <w:tc>
          <w:tcPr>
            <w:tcW w:w="3826" w:type="dxa"/>
          </w:tcPr>
          <w:p w14:paraId="2BE39197" w14:textId="518BBAF7" w:rsidR="00B3576C" w:rsidRPr="006947AE" w:rsidRDefault="00B3576C" w:rsidP="006947AE">
            <w:pPr>
              <w:keepN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 xml:space="preserve">Analysis by Council/AKR staff underway. </w:t>
            </w:r>
            <w:r w:rsidR="006D2C4E">
              <w:rPr>
                <w:rFonts w:asciiTheme="minorHAnsi" w:hAnsiTheme="minorHAnsi" w:cstheme="minorHAnsi"/>
                <w:color w:val="auto"/>
                <w:sz w:val="18"/>
                <w:szCs w:val="18"/>
              </w:rPr>
              <w:t>Requires input from AFSC stock assessment staff.</w:t>
            </w:r>
          </w:p>
        </w:tc>
        <w:tc>
          <w:tcPr>
            <w:tcW w:w="889" w:type="dxa"/>
          </w:tcPr>
          <w:p w14:paraId="545506CD" w14:textId="01F19C11" w:rsidR="00B3576C" w:rsidRPr="006947AE" w:rsidRDefault="006D2C4E" w:rsidP="006947AE">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Pr>
                <w:rFonts w:asciiTheme="minorHAnsi" w:hAnsiTheme="minorHAnsi" w:cstheme="minorHAnsi"/>
                <w:color w:val="auto"/>
                <w:sz w:val="18"/>
                <w:szCs w:val="18"/>
              </w:rPr>
              <w:t>4</w:t>
            </w:r>
          </w:p>
        </w:tc>
      </w:tr>
      <w:tr w:rsidR="00B3576C" w:rsidRPr="006947AE" w14:paraId="61F089D0" w14:textId="77777777" w:rsidTr="00D012F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0" w:type="dxa"/>
            <w:vMerge/>
            <w:tcBorders>
              <w:bottom w:val="single" w:sz="4" w:space="0" w:color="5B9BD5" w:themeColor="accent5"/>
            </w:tcBorders>
          </w:tcPr>
          <w:p w14:paraId="66C138D3" w14:textId="77777777" w:rsidR="00B3576C" w:rsidRPr="006947AE" w:rsidRDefault="00B3576C" w:rsidP="006947AE">
            <w:pPr>
              <w:keepNext/>
              <w:jc w:val="left"/>
              <w:rPr>
                <w:rFonts w:asciiTheme="minorHAnsi" w:hAnsiTheme="minorHAnsi" w:cstheme="minorHAnsi"/>
                <w:color w:val="auto"/>
                <w:sz w:val="18"/>
                <w:szCs w:val="18"/>
              </w:rPr>
            </w:pPr>
          </w:p>
        </w:tc>
        <w:tc>
          <w:tcPr>
            <w:tcW w:w="2520" w:type="dxa"/>
          </w:tcPr>
          <w:p w14:paraId="1DADE33A" w14:textId="37CACB3D" w:rsidR="00B3576C" w:rsidRPr="006947AE" w:rsidRDefault="00B3576C" w:rsidP="006947AE">
            <w:pP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BSAI Crab PSC limit reductions (prelim/initial)</w:t>
            </w:r>
          </w:p>
        </w:tc>
        <w:tc>
          <w:tcPr>
            <w:tcW w:w="1310" w:type="dxa"/>
          </w:tcPr>
          <w:p w14:paraId="32F2E31D" w14:textId="1DD300ED" w:rsidR="00B3576C" w:rsidRPr="006947AE" w:rsidRDefault="00B3576C" w:rsidP="006947AE">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Oct</w:t>
            </w:r>
            <w:r w:rsidR="00E51EDE">
              <w:rPr>
                <w:rFonts w:asciiTheme="minorHAnsi" w:hAnsiTheme="minorHAnsi" w:cstheme="minorHAnsi"/>
                <w:color w:val="auto"/>
                <w:sz w:val="18"/>
                <w:szCs w:val="18"/>
              </w:rPr>
              <w:t xml:space="preserve"> 2020</w:t>
            </w:r>
          </w:p>
        </w:tc>
        <w:tc>
          <w:tcPr>
            <w:tcW w:w="3826" w:type="dxa"/>
          </w:tcPr>
          <w:p w14:paraId="2AFFAE79" w14:textId="40FB0BAC" w:rsidR="00B3576C" w:rsidRPr="006947AE" w:rsidRDefault="00B3576C" w:rsidP="006947AE">
            <w:pP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 xml:space="preserve">Underway. Analysis of crab environmental impacts is making this a larger analytical effort than original conceived. </w:t>
            </w:r>
          </w:p>
        </w:tc>
        <w:tc>
          <w:tcPr>
            <w:tcW w:w="889" w:type="dxa"/>
          </w:tcPr>
          <w:p w14:paraId="2DD510C1" w14:textId="163A0C74" w:rsidR="00B3576C" w:rsidRPr="006947AE" w:rsidRDefault="00B3576C" w:rsidP="006947AE">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4</w:t>
            </w:r>
          </w:p>
        </w:tc>
      </w:tr>
      <w:tr w:rsidR="00D67AB2" w:rsidRPr="006947AE" w14:paraId="6FC56AA0" w14:textId="77777777" w:rsidTr="00D012F8">
        <w:trPr>
          <w:cantSplit/>
        </w:trPr>
        <w:tc>
          <w:tcPr>
            <w:cnfStyle w:val="001000000000" w:firstRow="0" w:lastRow="0" w:firstColumn="1" w:lastColumn="0" w:oddVBand="0" w:evenVBand="0" w:oddHBand="0" w:evenHBand="0" w:firstRowFirstColumn="0" w:firstRowLastColumn="0" w:lastRowFirstColumn="0" w:lastRowLastColumn="0"/>
            <w:tcW w:w="900" w:type="dxa"/>
            <w:vMerge w:val="restart"/>
            <w:tcBorders>
              <w:top w:val="single" w:sz="4" w:space="0" w:color="5B9BD5" w:themeColor="accent5"/>
            </w:tcBorders>
          </w:tcPr>
          <w:p w14:paraId="26A030E6" w14:textId="7958B7AC" w:rsidR="00D67AB2" w:rsidRPr="006947AE" w:rsidRDefault="00D67AB2" w:rsidP="006947AE">
            <w:pPr>
              <w:keepNext/>
              <w:jc w:val="left"/>
              <w:rPr>
                <w:rFonts w:asciiTheme="minorHAnsi" w:hAnsiTheme="minorHAnsi" w:cstheme="minorHAnsi"/>
                <w:color w:val="auto"/>
                <w:sz w:val="18"/>
                <w:szCs w:val="18"/>
              </w:rPr>
            </w:pPr>
            <w:r w:rsidRPr="006947AE">
              <w:rPr>
                <w:rFonts w:asciiTheme="minorHAnsi" w:hAnsiTheme="minorHAnsi" w:cstheme="minorHAnsi"/>
                <w:color w:val="auto"/>
                <w:sz w:val="18"/>
                <w:szCs w:val="18"/>
              </w:rPr>
              <w:t>Program review</w:t>
            </w:r>
            <w:r w:rsidR="00F43A8F">
              <w:rPr>
                <w:rFonts w:asciiTheme="minorHAnsi" w:hAnsiTheme="minorHAnsi" w:cstheme="minorHAnsi"/>
                <w:color w:val="auto"/>
                <w:sz w:val="18"/>
                <w:szCs w:val="18"/>
              </w:rPr>
              <w:t>s</w:t>
            </w:r>
          </w:p>
        </w:tc>
        <w:tc>
          <w:tcPr>
            <w:tcW w:w="2520" w:type="dxa"/>
          </w:tcPr>
          <w:p w14:paraId="6A80ADC3" w14:textId="026DEA48" w:rsidR="00D67AB2" w:rsidRPr="006947AE" w:rsidRDefault="00D67AB2" w:rsidP="006947AE">
            <w:pPr>
              <w:keepN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GOA sablefish pots</w:t>
            </w:r>
          </w:p>
        </w:tc>
        <w:tc>
          <w:tcPr>
            <w:tcW w:w="1310" w:type="dxa"/>
          </w:tcPr>
          <w:p w14:paraId="6596F33F" w14:textId="2B1625B3" w:rsidR="00D67AB2" w:rsidRPr="006947AE" w:rsidRDefault="00D67AB2" w:rsidP="006947AE">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Apr</w:t>
            </w:r>
            <w:r w:rsidR="00E51EDE">
              <w:rPr>
                <w:rFonts w:asciiTheme="minorHAnsi" w:hAnsiTheme="minorHAnsi" w:cstheme="minorHAnsi"/>
                <w:color w:val="auto"/>
                <w:sz w:val="18"/>
                <w:szCs w:val="18"/>
              </w:rPr>
              <w:t xml:space="preserve"> 2020</w:t>
            </w:r>
          </w:p>
        </w:tc>
        <w:tc>
          <w:tcPr>
            <w:tcW w:w="3826" w:type="dxa"/>
          </w:tcPr>
          <w:p w14:paraId="6AFE96D2" w14:textId="46A3840B" w:rsidR="00D67AB2" w:rsidRPr="006947AE" w:rsidRDefault="00D67AB2" w:rsidP="006947AE">
            <w:pPr>
              <w:keepN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 xml:space="preserve">Underway. Data are collated, but </w:t>
            </w:r>
            <w:r w:rsidR="0004310A">
              <w:rPr>
                <w:rFonts w:asciiTheme="minorHAnsi" w:hAnsiTheme="minorHAnsi" w:cstheme="minorHAnsi"/>
                <w:color w:val="auto"/>
                <w:sz w:val="18"/>
                <w:szCs w:val="18"/>
              </w:rPr>
              <w:t xml:space="preserve">full </w:t>
            </w:r>
            <w:r w:rsidRPr="006947AE">
              <w:rPr>
                <w:rFonts w:asciiTheme="minorHAnsi" w:hAnsiTheme="minorHAnsi" w:cstheme="minorHAnsi"/>
                <w:color w:val="auto"/>
                <w:sz w:val="18"/>
                <w:szCs w:val="18"/>
              </w:rPr>
              <w:t>write up</w:t>
            </w:r>
            <w:r w:rsidR="0004310A">
              <w:rPr>
                <w:rFonts w:asciiTheme="minorHAnsi" w:hAnsiTheme="minorHAnsi" w:cstheme="minorHAnsi"/>
                <w:color w:val="auto"/>
                <w:sz w:val="18"/>
                <w:szCs w:val="18"/>
              </w:rPr>
              <w:t xml:space="preserve"> not yet complete</w:t>
            </w:r>
            <w:r w:rsidRPr="006947AE">
              <w:rPr>
                <w:rFonts w:asciiTheme="minorHAnsi" w:hAnsiTheme="minorHAnsi" w:cstheme="minorHAnsi"/>
                <w:color w:val="auto"/>
                <w:sz w:val="18"/>
                <w:szCs w:val="18"/>
              </w:rPr>
              <w:t xml:space="preserve"> as analyst pivoted to other priorities. </w:t>
            </w:r>
            <w:r w:rsidR="0004310A">
              <w:rPr>
                <w:rFonts w:asciiTheme="minorHAnsi" w:hAnsiTheme="minorHAnsi" w:cstheme="minorHAnsi"/>
                <w:color w:val="auto"/>
                <w:sz w:val="18"/>
                <w:szCs w:val="18"/>
              </w:rPr>
              <w:t xml:space="preserve">Council requested </w:t>
            </w:r>
            <w:r w:rsidRPr="006947AE">
              <w:rPr>
                <w:rFonts w:asciiTheme="minorHAnsi" w:hAnsiTheme="minorHAnsi" w:cstheme="minorHAnsi"/>
                <w:color w:val="auto"/>
                <w:sz w:val="18"/>
                <w:szCs w:val="18"/>
              </w:rPr>
              <w:t xml:space="preserve">IFQ Committee review. </w:t>
            </w:r>
          </w:p>
        </w:tc>
        <w:tc>
          <w:tcPr>
            <w:tcW w:w="889" w:type="dxa"/>
          </w:tcPr>
          <w:p w14:paraId="43ECD573" w14:textId="4235584E" w:rsidR="00D67AB2" w:rsidRPr="006947AE" w:rsidRDefault="00D67AB2" w:rsidP="006947AE">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4</w:t>
            </w:r>
          </w:p>
        </w:tc>
      </w:tr>
      <w:tr w:rsidR="00D67AB2" w:rsidRPr="006947AE" w14:paraId="3F9DDEFE" w14:textId="77777777" w:rsidTr="00D012F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0" w:type="dxa"/>
            <w:vMerge/>
            <w:tcBorders>
              <w:bottom w:val="single" w:sz="4" w:space="0" w:color="5B9BD5" w:themeColor="accent5"/>
            </w:tcBorders>
          </w:tcPr>
          <w:p w14:paraId="7A8A4078" w14:textId="77777777" w:rsidR="00D67AB2" w:rsidRPr="006947AE" w:rsidRDefault="00D67AB2" w:rsidP="006947AE">
            <w:pPr>
              <w:keepNext/>
              <w:rPr>
                <w:rFonts w:asciiTheme="minorHAnsi" w:hAnsiTheme="minorHAnsi" w:cstheme="minorHAnsi"/>
                <w:sz w:val="18"/>
                <w:szCs w:val="18"/>
              </w:rPr>
            </w:pPr>
          </w:p>
        </w:tc>
        <w:tc>
          <w:tcPr>
            <w:tcW w:w="2520" w:type="dxa"/>
          </w:tcPr>
          <w:p w14:paraId="24D83D5F" w14:textId="2543D10D" w:rsidR="00D67AB2" w:rsidRPr="006947AE" w:rsidRDefault="00D67AB2" w:rsidP="006947AE">
            <w:pP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GOA Pcod allocation review</w:t>
            </w:r>
          </w:p>
        </w:tc>
        <w:tc>
          <w:tcPr>
            <w:tcW w:w="1310" w:type="dxa"/>
          </w:tcPr>
          <w:p w14:paraId="16B73011" w14:textId="23F36969" w:rsidR="00D67AB2" w:rsidRPr="006947AE" w:rsidRDefault="00D67AB2" w:rsidP="006947AE">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Dec</w:t>
            </w:r>
            <w:r w:rsidR="00E51EDE">
              <w:rPr>
                <w:rFonts w:asciiTheme="minorHAnsi" w:hAnsiTheme="minorHAnsi" w:cstheme="minorHAnsi"/>
                <w:color w:val="auto"/>
                <w:sz w:val="18"/>
                <w:szCs w:val="18"/>
              </w:rPr>
              <w:t xml:space="preserve"> 2020</w:t>
            </w:r>
          </w:p>
        </w:tc>
        <w:tc>
          <w:tcPr>
            <w:tcW w:w="3826" w:type="dxa"/>
          </w:tcPr>
          <w:p w14:paraId="0CBBCBC1" w14:textId="399CAB9B" w:rsidR="00D67AB2" w:rsidRPr="006947AE" w:rsidRDefault="00D67AB2" w:rsidP="006947AE">
            <w:pP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Not started yet.</w:t>
            </w:r>
          </w:p>
        </w:tc>
        <w:tc>
          <w:tcPr>
            <w:tcW w:w="889" w:type="dxa"/>
          </w:tcPr>
          <w:p w14:paraId="1B845AD8" w14:textId="5E5323BE" w:rsidR="00D67AB2" w:rsidRPr="006947AE" w:rsidRDefault="00D67AB2" w:rsidP="006947AE">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6947AE">
              <w:rPr>
                <w:rFonts w:asciiTheme="minorHAnsi" w:hAnsiTheme="minorHAnsi" w:cstheme="minorHAnsi"/>
                <w:color w:val="auto"/>
                <w:sz w:val="18"/>
                <w:szCs w:val="18"/>
              </w:rPr>
              <w:t>3</w:t>
            </w:r>
          </w:p>
        </w:tc>
      </w:tr>
      <w:tr w:rsidR="007F75BB" w:rsidRPr="006947AE" w14:paraId="6C4DA32E" w14:textId="77777777" w:rsidTr="00D012F8">
        <w:trPr>
          <w:cantSplit/>
        </w:trPr>
        <w:tc>
          <w:tcPr>
            <w:cnfStyle w:val="001000000000" w:firstRow="0" w:lastRow="0" w:firstColumn="1" w:lastColumn="0" w:oddVBand="0" w:evenVBand="0" w:oddHBand="0" w:evenHBand="0" w:firstRowFirstColumn="0" w:firstRowLastColumn="0" w:lastRowFirstColumn="0" w:lastRowLastColumn="0"/>
            <w:tcW w:w="900" w:type="dxa"/>
            <w:vMerge w:val="restart"/>
            <w:tcBorders>
              <w:top w:val="single" w:sz="4" w:space="0" w:color="5B9BD5" w:themeColor="accent5"/>
            </w:tcBorders>
          </w:tcPr>
          <w:p w14:paraId="1E97A3C1" w14:textId="2D272A67" w:rsidR="007F75BB" w:rsidRPr="006947AE" w:rsidRDefault="007F75BB" w:rsidP="006947AE">
            <w:pPr>
              <w:keepNext/>
              <w:jc w:val="left"/>
              <w:rPr>
                <w:rFonts w:asciiTheme="minorHAnsi" w:hAnsiTheme="minorHAnsi" w:cstheme="minorHAnsi"/>
                <w:color w:val="auto"/>
                <w:sz w:val="18"/>
                <w:szCs w:val="18"/>
              </w:rPr>
            </w:pPr>
            <w:r w:rsidRPr="006947AE">
              <w:rPr>
                <w:rFonts w:asciiTheme="minorHAnsi" w:hAnsiTheme="minorHAnsi" w:cstheme="minorHAnsi"/>
                <w:color w:val="auto"/>
                <w:sz w:val="18"/>
                <w:szCs w:val="18"/>
              </w:rPr>
              <w:t>Discussion papers</w:t>
            </w:r>
          </w:p>
        </w:tc>
        <w:tc>
          <w:tcPr>
            <w:tcW w:w="2520" w:type="dxa"/>
          </w:tcPr>
          <w:p w14:paraId="3A71E3A1" w14:textId="0A06D2E3" w:rsidR="007F75BB" w:rsidRPr="006947AE" w:rsidRDefault="007F75BB" w:rsidP="006947AE">
            <w:pPr>
              <w:keepN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IFQ access opportunities</w:t>
            </w:r>
            <w:r w:rsidR="00DB7D77" w:rsidRPr="006947AE">
              <w:rPr>
                <w:rFonts w:asciiTheme="minorHAnsi" w:hAnsiTheme="minorHAnsi" w:cstheme="minorHAnsi"/>
                <w:color w:val="auto"/>
                <w:sz w:val="18"/>
                <w:szCs w:val="18"/>
              </w:rPr>
              <w:t>*</w:t>
            </w:r>
          </w:p>
        </w:tc>
        <w:tc>
          <w:tcPr>
            <w:tcW w:w="1310" w:type="dxa"/>
          </w:tcPr>
          <w:p w14:paraId="3E365A06" w14:textId="74B1D11E" w:rsidR="007F75BB" w:rsidRPr="006947AE" w:rsidRDefault="007F75BB" w:rsidP="006947AE">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Apr</w:t>
            </w:r>
            <w:r w:rsidR="00E51EDE">
              <w:rPr>
                <w:rFonts w:asciiTheme="minorHAnsi" w:hAnsiTheme="minorHAnsi" w:cstheme="minorHAnsi"/>
                <w:color w:val="auto"/>
                <w:sz w:val="18"/>
                <w:szCs w:val="18"/>
              </w:rPr>
              <w:t xml:space="preserve"> 2020</w:t>
            </w:r>
          </w:p>
        </w:tc>
        <w:tc>
          <w:tcPr>
            <w:tcW w:w="3826" w:type="dxa"/>
          </w:tcPr>
          <w:p w14:paraId="46287D68" w14:textId="78907D6E" w:rsidR="007F75BB" w:rsidRPr="006947AE" w:rsidRDefault="007F75BB" w:rsidP="006947AE">
            <w:pPr>
              <w:keepN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 xml:space="preserve">Paper largely complete, needs final revisions as analyst pivoted to other priorities. Council requested IFQ Committee review. </w:t>
            </w:r>
          </w:p>
        </w:tc>
        <w:tc>
          <w:tcPr>
            <w:tcW w:w="889" w:type="dxa"/>
          </w:tcPr>
          <w:p w14:paraId="1A5FE7D5" w14:textId="1DB56FAE" w:rsidR="007F75BB" w:rsidRPr="006947AE" w:rsidRDefault="00E51EDE" w:rsidP="006947AE">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Pr>
                <w:rFonts w:asciiTheme="minorHAnsi" w:hAnsiTheme="minorHAnsi" w:cstheme="minorHAnsi"/>
                <w:color w:val="auto"/>
                <w:sz w:val="18"/>
                <w:szCs w:val="18"/>
              </w:rPr>
              <w:t>4</w:t>
            </w:r>
          </w:p>
        </w:tc>
      </w:tr>
      <w:tr w:rsidR="007F75BB" w:rsidRPr="006947AE" w14:paraId="71AA9AC8" w14:textId="77777777" w:rsidTr="00D012F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0" w:type="dxa"/>
            <w:vMerge/>
          </w:tcPr>
          <w:p w14:paraId="14028839" w14:textId="77777777" w:rsidR="007F75BB" w:rsidRPr="006947AE" w:rsidRDefault="007F75BB" w:rsidP="006947AE">
            <w:pPr>
              <w:keepNext/>
              <w:jc w:val="left"/>
              <w:rPr>
                <w:rFonts w:asciiTheme="minorHAnsi" w:hAnsiTheme="minorHAnsi" w:cstheme="minorHAnsi"/>
                <w:color w:val="auto"/>
                <w:sz w:val="18"/>
                <w:szCs w:val="18"/>
              </w:rPr>
            </w:pPr>
          </w:p>
        </w:tc>
        <w:tc>
          <w:tcPr>
            <w:tcW w:w="2520" w:type="dxa"/>
          </w:tcPr>
          <w:p w14:paraId="4030A37C" w14:textId="6E3225C2" w:rsidR="007F75BB" w:rsidRPr="006947AE" w:rsidRDefault="007F75BB" w:rsidP="006947AE">
            <w:pP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RQE funding mechanisms</w:t>
            </w:r>
          </w:p>
        </w:tc>
        <w:tc>
          <w:tcPr>
            <w:tcW w:w="1310" w:type="dxa"/>
          </w:tcPr>
          <w:p w14:paraId="24FCAF67" w14:textId="5DFF40E6" w:rsidR="007F75BB" w:rsidRPr="00E51EDE" w:rsidRDefault="007F75BB" w:rsidP="006947AE">
            <w:pPr>
              <w:keepNext/>
              <w:jc w:val="center"/>
              <w:cnfStyle w:val="000000100000" w:firstRow="0" w:lastRow="0" w:firstColumn="0" w:lastColumn="0" w:oddVBand="0" w:evenVBand="0" w:oddHBand="1" w:evenHBand="0" w:firstRowFirstColumn="0" w:firstRowLastColumn="0" w:lastRowFirstColumn="0" w:lastRowLastColumn="0"/>
            </w:pPr>
            <w:r w:rsidRPr="006947AE">
              <w:rPr>
                <w:rFonts w:asciiTheme="minorHAnsi" w:hAnsiTheme="minorHAnsi" w:cstheme="minorHAnsi"/>
                <w:color w:val="auto"/>
                <w:sz w:val="18"/>
                <w:szCs w:val="18"/>
              </w:rPr>
              <w:t>Oct</w:t>
            </w:r>
            <w:r w:rsidR="00E51EDE">
              <w:t xml:space="preserve"> </w:t>
            </w:r>
            <w:r w:rsidR="00E51EDE">
              <w:rPr>
                <w:rFonts w:asciiTheme="minorHAnsi" w:hAnsiTheme="minorHAnsi" w:cstheme="minorHAnsi"/>
                <w:color w:val="auto"/>
                <w:sz w:val="18"/>
                <w:szCs w:val="18"/>
              </w:rPr>
              <w:t>2020</w:t>
            </w:r>
          </w:p>
        </w:tc>
        <w:tc>
          <w:tcPr>
            <w:tcW w:w="3826" w:type="dxa"/>
          </w:tcPr>
          <w:p w14:paraId="0CE1D6B7" w14:textId="5B8C5D1A" w:rsidR="007F75BB" w:rsidRPr="006947AE" w:rsidRDefault="007F75BB" w:rsidP="006947AE">
            <w:pP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 xml:space="preserve">Paper not yet started. Still awaiting U.S. Congressional action. </w:t>
            </w:r>
          </w:p>
        </w:tc>
        <w:tc>
          <w:tcPr>
            <w:tcW w:w="889" w:type="dxa"/>
          </w:tcPr>
          <w:p w14:paraId="4EF6EB38" w14:textId="3043B936" w:rsidR="007F75BB" w:rsidRPr="006947AE" w:rsidRDefault="007F75BB" w:rsidP="006947AE">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2</w:t>
            </w:r>
          </w:p>
        </w:tc>
      </w:tr>
      <w:tr w:rsidR="007F75BB" w:rsidRPr="006947AE" w14:paraId="5FDB8061" w14:textId="77777777" w:rsidTr="00D012F8">
        <w:trPr>
          <w:cantSplit/>
        </w:trPr>
        <w:tc>
          <w:tcPr>
            <w:cnfStyle w:val="001000000000" w:firstRow="0" w:lastRow="0" w:firstColumn="1" w:lastColumn="0" w:oddVBand="0" w:evenVBand="0" w:oddHBand="0" w:evenHBand="0" w:firstRowFirstColumn="0" w:firstRowLastColumn="0" w:lastRowFirstColumn="0" w:lastRowLastColumn="0"/>
            <w:tcW w:w="900" w:type="dxa"/>
            <w:vMerge/>
            <w:tcBorders>
              <w:bottom w:val="single" w:sz="4" w:space="0" w:color="5B9BD5" w:themeColor="accent5"/>
            </w:tcBorders>
          </w:tcPr>
          <w:p w14:paraId="2CF13245" w14:textId="77777777" w:rsidR="007F75BB" w:rsidRPr="006947AE" w:rsidRDefault="007F75BB" w:rsidP="006947AE">
            <w:pPr>
              <w:keepNext/>
              <w:rPr>
                <w:rFonts w:asciiTheme="minorHAnsi" w:hAnsiTheme="minorHAnsi" w:cstheme="minorHAnsi"/>
                <w:sz w:val="18"/>
                <w:szCs w:val="18"/>
              </w:rPr>
            </w:pPr>
          </w:p>
        </w:tc>
        <w:tc>
          <w:tcPr>
            <w:tcW w:w="2520" w:type="dxa"/>
          </w:tcPr>
          <w:p w14:paraId="3C2255E3" w14:textId="493C8537" w:rsidR="007F75BB" w:rsidRPr="006947AE" w:rsidRDefault="007F75BB" w:rsidP="006947AE">
            <w:pPr>
              <w:keepN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BSAI Pcod small boat (&lt;60</w:t>
            </w:r>
            <w:r w:rsidR="00DB7D77" w:rsidRPr="006947AE">
              <w:rPr>
                <w:rFonts w:asciiTheme="minorHAnsi" w:hAnsiTheme="minorHAnsi" w:cstheme="minorHAnsi"/>
                <w:color w:val="auto"/>
                <w:sz w:val="18"/>
                <w:szCs w:val="18"/>
              </w:rPr>
              <w:t>’) access</w:t>
            </w:r>
          </w:p>
        </w:tc>
        <w:tc>
          <w:tcPr>
            <w:tcW w:w="1310" w:type="dxa"/>
          </w:tcPr>
          <w:p w14:paraId="0C45B09F" w14:textId="042EDC82" w:rsidR="007F75BB" w:rsidRPr="006947AE" w:rsidRDefault="00DB7D77" w:rsidP="006947AE">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Dec</w:t>
            </w:r>
            <w:r w:rsidR="00E51EDE">
              <w:rPr>
                <w:rFonts w:asciiTheme="minorHAnsi" w:hAnsiTheme="minorHAnsi" w:cstheme="minorHAnsi"/>
                <w:color w:val="auto"/>
                <w:sz w:val="18"/>
                <w:szCs w:val="18"/>
              </w:rPr>
              <w:t xml:space="preserve"> 2020</w:t>
            </w:r>
          </w:p>
        </w:tc>
        <w:tc>
          <w:tcPr>
            <w:tcW w:w="3826" w:type="dxa"/>
          </w:tcPr>
          <w:p w14:paraId="68957E5A" w14:textId="47FB8643" w:rsidR="007F75BB" w:rsidRPr="006947AE" w:rsidRDefault="00DB7D77" w:rsidP="006947AE">
            <w:pPr>
              <w:keepN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Not started yet.</w:t>
            </w:r>
          </w:p>
        </w:tc>
        <w:tc>
          <w:tcPr>
            <w:tcW w:w="889" w:type="dxa"/>
          </w:tcPr>
          <w:p w14:paraId="4A1D448C" w14:textId="175A84EB" w:rsidR="007F75BB" w:rsidRPr="006947AE" w:rsidRDefault="00DB7D77" w:rsidP="006947AE">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2</w:t>
            </w:r>
          </w:p>
        </w:tc>
      </w:tr>
      <w:tr w:rsidR="00C534BA" w:rsidRPr="006947AE" w14:paraId="49421355" w14:textId="77777777" w:rsidTr="00D012F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0" w:type="dxa"/>
            <w:vMerge w:val="restart"/>
            <w:tcBorders>
              <w:top w:val="single" w:sz="4" w:space="0" w:color="5B9BD5" w:themeColor="accent5"/>
            </w:tcBorders>
          </w:tcPr>
          <w:p w14:paraId="41E4405C" w14:textId="544257A9" w:rsidR="00D726F9" w:rsidRPr="006947AE" w:rsidRDefault="00D726F9" w:rsidP="006947AE">
            <w:pPr>
              <w:keepNext/>
              <w:jc w:val="left"/>
              <w:rPr>
                <w:rFonts w:asciiTheme="minorHAnsi" w:hAnsiTheme="minorHAnsi" w:cstheme="minorHAnsi"/>
                <w:color w:val="auto"/>
                <w:sz w:val="18"/>
                <w:szCs w:val="18"/>
              </w:rPr>
            </w:pPr>
            <w:r w:rsidRPr="006947AE">
              <w:rPr>
                <w:rFonts w:asciiTheme="minorHAnsi" w:hAnsiTheme="minorHAnsi" w:cstheme="minorHAnsi"/>
                <w:color w:val="auto"/>
                <w:sz w:val="18"/>
                <w:szCs w:val="18"/>
              </w:rPr>
              <w:t>Reports</w:t>
            </w:r>
          </w:p>
        </w:tc>
        <w:tc>
          <w:tcPr>
            <w:tcW w:w="2520" w:type="dxa"/>
          </w:tcPr>
          <w:p w14:paraId="6C85D600" w14:textId="51BFA373" w:rsidR="00D726F9" w:rsidRPr="006947AE" w:rsidRDefault="00D726F9" w:rsidP="006947AE">
            <w:pP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BS FEP Plan Team</w:t>
            </w:r>
          </w:p>
        </w:tc>
        <w:tc>
          <w:tcPr>
            <w:tcW w:w="1310" w:type="dxa"/>
          </w:tcPr>
          <w:p w14:paraId="656FA0E7" w14:textId="4408445C" w:rsidR="00D726F9" w:rsidRPr="006947AE" w:rsidRDefault="00D726F9" w:rsidP="006947AE">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Apr</w:t>
            </w:r>
            <w:r w:rsidR="00E51EDE">
              <w:rPr>
                <w:rFonts w:asciiTheme="minorHAnsi" w:hAnsiTheme="minorHAnsi" w:cstheme="minorHAnsi"/>
                <w:color w:val="auto"/>
                <w:sz w:val="18"/>
                <w:szCs w:val="18"/>
              </w:rPr>
              <w:t xml:space="preserve"> 2020</w:t>
            </w:r>
          </w:p>
        </w:tc>
        <w:tc>
          <w:tcPr>
            <w:tcW w:w="3826" w:type="dxa"/>
          </w:tcPr>
          <w:p w14:paraId="067CB522" w14:textId="34560671" w:rsidR="00D726F9" w:rsidRPr="006947AE" w:rsidRDefault="00D726F9" w:rsidP="006947AE">
            <w:pP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 xml:space="preserve">Meeting occurred in early March. Report drafted but not yet finalized. </w:t>
            </w:r>
          </w:p>
        </w:tc>
        <w:tc>
          <w:tcPr>
            <w:tcW w:w="889" w:type="dxa"/>
          </w:tcPr>
          <w:p w14:paraId="793D8C73" w14:textId="1A3A6DB7" w:rsidR="00D726F9" w:rsidRPr="006947AE" w:rsidRDefault="00D726F9" w:rsidP="006947AE">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1</w:t>
            </w:r>
          </w:p>
        </w:tc>
      </w:tr>
      <w:tr w:rsidR="00C534BA" w:rsidRPr="006947AE" w14:paraId="209615BE" w14:textId="77777777" w:rsidTr="00D012F8">
        <w:trPr>
          <w:cantSplit/>
        </w:trPr>
        <w:tc>
          <w:tcPr>
            <w:cnfStyle w:val="001000000000" w:firstRow="0" w:lastRow="0" w:firstColumn="1" w:lastColumn="0" w:oddVBand="0" w:evenVBand="0" w:oddHBand="0" w:evenHBand="0" w:firstRowFirstColumn="0" w:firstRowLastColumn="0" w:lastRowFirstColumn="0" w:lastRowLastColumn="0"/>
            <w:tcW w:w="900" w:type="dxa"/>
            <w:vMerge/>
          </w:tcPr>
          <w:p w14:paraId="71C25F60" w14:textId="77777777" w:rsidR="00D726F9" w:rsidRPr="006947AE" w:rsidRDefault="00D726F9" w:rsidP="006947AE">
            <w:pPr>
              <w:keepNext/>
              <w:jc w:val="left"/>
              <w:rPr>
                <w:rFonts w:asciiTheme="minorHAnsi" w:hAnsiTheme="minorHAnsi" w:cstheme="minorHAnsi"/>
                <w:color w:val="auto"/>
                <w:sz w:val="18"/>
                <w:szCs w:val="18"/>
              </w:rPr>
            </w:pPr>
          </w:p>
        </w:tc>
        <w:tc>
          <w:tcPr>
            <w:tcW w:w="2520" w:type="dxa"/>
          </w:tcPr>
          <w:p w14:paraId="48D1D751" w14:textId="02085ADC" w:rsidR="00D726F9" w:rsidRPr="006947AE" w:rsidRDefault="00D726F9" w:rsidP="006947AE">
            <w:pPr>
              <w:keepN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BS FEP Climate Change Taskforce Workplan</w:t>
            </w:r>
          </w:p>
        </w:tc>
        <w:tc>
          <w:tcPr>
            <w:tcW w:w="1310" w:type="dxa"/>
          </w:tcPr>
          <w:p w14:paraId="353E1891" w14:textId="2B5C37D9" w:rsidR="00D726F9" w:rsidRPr="006947AE" w:rsidRDefault="00D726F9" w:rsidP="006947AE">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Apr</w:t>
            </w:r>
            <w:r w:rsidR="00E51EDE">
              <w:rPr>
                <w:rFonts w:asciiTheme="minorHAnsi" w:hAnsiTheme="minorHAnsi" w:cstheme="minorHAnsi"/>
                <w:color w:val="auto"/>
                <w:sz w:val="18"/>
                <w:szCs w:val="18"/>
              </w:rPr>
              <w:t xml:space="preserve"> 2020</w:t>
            </w:r>
          </w:p>
        </w:tc>
        <w:tc>
          <w:tcPr>
            <w:tcW w:w="3826" w:type="dxa"/>
          </w:tcPr>
          <w:p w14:paraId="2A4139DC" w14:textId="308B4389" w:rsidR="00D726F9" w:rsidRPr="006947AE" w:rsidRDefault="00D726F9" w:rsidP="006947AE">
            <w:pPr>
              <w:keepN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 xml:space="preserve">Meeting occurred in late February. </w:t>
            </w:r>
            <w:r w:rsidR="00E51EDE">
              <w:rPr>
                <w:rFonts w:asciiTheme="minorHAnsi" w:hAnsiTheme="minorHAnsi" w:cstheme="minorHAnsi"/>
                <w:color w:val="auto"/>
                <w:sz w:val="18"/>
                <w:szCs w:val="18"/>
              </w:rPr>
              <w:t>Workplan under revision</w:t>
            </w:r>
            <w:r w:rsidRPr="006947AE">
              <w:rPr>
                <w:rFonts w:asciiTheme="minorHAnsi" w:hAnsiTheme="minorHAnsi" w:cstheme="minorHAnsi"/>
                <w:color w:val="auto"/>
                <w:sz w:val="18"/>
                <w:szCs w:val="18"/>
              </w:rPr>
              <w:t xml:space="preserve">. </w:t>
            </w:r>
          </w:p>
        </w:tc>
        <w:tc>
          <w:tcPr>
            <w:tcW w:w="889" w:type="dxa"/>
          </w:tcPr>
          <w:p w14:paraId="235575D4" w14:textId="4E8FD162" w:rsidR="00D726F9" w:rsidRPr="006947AE" w:rsidRDefault="00D726F9" w:rsidP="006947AE">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1</w:t>
            </w:r>
          </w:p>
        </w:tc>
      </w:tr>
      <w:tr w:rsidR="00C534BA" w:rsidRPr="006947AE" w14:paraId="60AA4F4F" w14:textId="77777777" w:rsidTr="00D012F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0" w:type="dxa"/>
            <w:vMerge/>
          </w:tcPr>
          <w:p w14:paraId="151EF72D" w14:textId="77777777" w:rsidR="00D726F9" w:rsidRPr="006947AE" w:rsidRDefault="00D726F9" w:rsidP="006947AE">
            <w:pPr>
              <w:keepNext/>
              <w:jc w:val="left"/>
              <w:rPr>
                <w:rFonts w:asciiTheme="minorHAnsi" w:hAnsiTheme="minorHAnsi" w:cstheme="minorHAnsi"/>
                <w:color w:val="auto"/>
                <w:sz w:val="18"/>
                <w:szCs w:val="18"/>
              </w:rPr>
            </w:pPr>
          </w:p>
        </w:tc>
        <w:tc>
          <w:tcPr>
            <w:tcW w:w="2520" w:type="dxa"/>
          </w:tcPr>
          <w:p w14:paraId="5FFD4613" w14:textId="75D8B22A" w:rsidR="00D726F9" w:rsidRPr="006947AE" w:rsidRDefault="00D726F9" w:rsidP="006947AE">
            <w:pP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Plan Team policies</w:t>
            </w:r>
          </w:p>
        </w:tc>
        <w:tc>
          <w:tcPr>
            <w:tcW w:w="1310" w:type="dxa"/>
          </w:tcPr>
          <w:p w14:paraId="127620BF" w14:textId="5A6AC8C6" w:rsidR="00D726F9" w:rsidRPr="006947AE" w:rsidRDefault="00D726F9" w:rsidP="006947AE">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Jun</w:t>
            </w:r>
            <w:r w:rsidR="00E51EDE">
              <w:rPr>
                <w:rFonts w:asciiTheme="minorHAnsi" w:hAnsiTheme="minorHAnsi" w:cstheme="minorHAnsi"/>
                <w:color w:val="auto"/>
                <w:sz w:val="18"/>
                <w:szCs w:val="18"/>
              </w:rPr>
              <w:t xml:space="preserve"> 2020</w:t>
            </w:r>
          </w:p>
        </w:tc>
        <w:tc>
          <w:tcPr>
            <w:tcW w:w="3826" w:type="dxa"/>
          </w:tcPr>
          <w:p w14:paraId="58D2EAB2" w14:textId="5A4A5F0C" w:rsidR="00D726F9" w:rsidRPr="006947AE" w:rsidRDefault="00D726F9" w:rsidP="006947AE">
            <w:pP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 xml:space="preserve">Development underway of Plan Team handbook, for Council approval. Will include criteria for PT membership, and Council policies on PT vs SSC vs Council roles. </w:t>
            </w:r>
            <w:r w:rsidR="00E51EDE">
              <w:rPr>
                <w:rFonts w:asciiTheme="minorHAnsi" w:hAnsiTheme="minorHAnsi" w:cstheme="minorHAnsi"/>
                <w:color w:val="auto"/>
                <w:sz w:val="18"/>
                <w:szCs w:val="18"/>
              </w:rPr>
              <w:t>Needs input from Council-SSC-PT subgroup.</w:t>
            </w:r>
          </w:p>
        </w:tc>
        <w:tc>
          <w:tcPr>
            <w:tcW w:w="889" w:type="dxa"/>
          </w:tcPr>
          <w:p w14:paraId="2E82880E" w14:textId="7E607683" w:rsidR="00D726F9" w:rsidRPr="006947AE" w:rsidRDefault="00D726F9" w:rsidP="006947AE">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1</w:t>
            </w:r>
          </w:p>
        </w:tc>
      </w:tr>
      <w:tr w:rsidR="00C534BA" w:rsidRPr="006947AE" w14:paraId="328F1157" w14:textId="77777777" w:rsidTr="00D012F8">
        <w:trPr>
          <w:cantSplit/>
        </w:trPr>
        <w:tc>
          <w:tcPr>
            <w:cnfStyle w:val="001000000000" w:firstRow="0" w:lastRow="0" w:firstColumn="1" w:lastColumn="0" w:oddVBand="0" w:evenVBand="0" w:oddHBand="0" w:evenHBand="0" w:firstRowFirstColumn="0" w:firstRowLastColumn="0" w:lastRowFirstColumn="0" w:lastRowLastColumn="0"/>
            <w:tcW w:w="900" w:type="dxa"/>
            <w:vMerge/>
          </w:tcPr>
          <w:p w14:paraId="61353832" w14:textId="77777777" w:rsidR="00D726F9" w:rsidRPr="006947AE" w:rsidRDefault="00D726F9" w:rsidP="006947AE">
            <w:pPr>
              <w:keepNext/>
              <w:jc w:val="left"/>
              <w:rPr>
                <w:rFonts w:asciiTheme="minorHAnsi" w:hAnsiTheme="minorHAnsi" w:cstheme="minorHAnsi"/>
                <w:color w:val="auto"/>
                <w:sz w:val="18"/>
                <w:szCs w:val="18"/>
              </w:rPr>
            </w:pPr>
          </w:p>
        </w:tc>
        <w:tc>
          <w:tcPr>
            <w:tcW w:w="2520" w:type="dxa"/>
          </w:tcPr>
          <w:p w14:paraId="51B9B193" w14:textId="0EAE842F" w:rsidR="00D726F9" w:rsidRPr="006947AE" w:rsidRDefault="00D726F9" w:rsidP="006947AE">
            <w:pPr>
              <w:keepN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Trawl EM committee</w:t>
            </w:r>
          </w:p>
        </w:tc>
        <w:tc>
          <w:tcPr>
            <w:tcW w:w="1310" w:type="dxa"/>
          </w:tcPr>
          <w:p w14:paraId="5BDE4551" w14:textId="57C7EE7C" w:rsidR="00D726F9" w:rsidRPr="006947AE" w:rsidRDefault="00D726F9" w:rsidP="006947AE">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Jun</w:t>
            </w:r>
            <w:r w:rsidR="00E51EDE">
              <w:rPr>
                <w:rFonts w:asciiTheme="minorHAnsi" w:hAnsiTheme="minorHAnsi" w:cstheme="minorHAnsi"/>
                <w:color w:val="auto"/>
                <w:sz w:val="18"/>
                <w:szCs w:val="18"/>
              </w:rPr>
              <w:t xml:space="preserve"> 2020</w:t>
            </w:r>
          </w:p>
        </w:tc>
        <w:tc>
          <w:tcPr>
            <w:tcW w:w="3826" w:type="dxa"/>
          </w:tcPr>
          <w:p w14:paraId="79162A5C" w14:textId="37A84ED6" w:rsidR="00D726F9" w:rsidRPr="006947AE" w:rsidRDefault="00D726F9" w:rsidP="006947AE">
            <w:pPr>
              <w:keepN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 xml:space="preserve">Initial data from EFP should be available during the summer, for review by the Committee in designing regulatory program. </w:t>
            </w:r>
          </w:p>
        </w:tc>
        <w:tc>
          <w:tcPr>
            <w:tcW w:w="889" w:type="dxa"/>
          </w:tcPr>
          <w:p w14:paraId="626407E0" w14:textId="190A03E2" w:rsidR="00D726F9" w:rsidRPr="006947AE" w:rsidRDefault="00D726F9" w:rsidP="006947AE">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1</w:t>
            </w:r>
          </w:p>
        </w:tc>
      </w:tr>
      <w:tr w:rsidR="00C534BA" w:rsidRPr="006947AE" w14:paraId="2FE345C5" w14:textId="77777777" w:rsidTr="00D012F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0" w:type="dxa"/>
            <w:vMerge/>
          </w:tcPr>
          <w:p w14:paraId="44654A1C" w14:textId="77777777" w:rsidR="00D726F9" w:rsidRPr="006947AE" w:rsidRDefault="00D726F9" w:rsidP="006947AE">
            <w:pPr>
              <w:keepNext/>
              <w:jc w:val="left"/>
              <w:rPr>
                <w:rFonts w:asciiTheme="minorHAnsi" w:hAnsiTheme="minorHAnsi" w:cstheme="minorHAnsi"/>
                <w:color w:val="auto"/>
                <w:sz w:val="18"/>
                <w:szCs w:val="18"/>
              </w:rPr>
            </w:pPr>
          </w:p>
        </w:tc>
        <w:tc>
          <w:tcPr>
            <w:tcW w:w="2520" w:type="dxa"/>
          </w:tcPr>
          <w:p w14:paraId="7CD8E671" w14:textId="7919D013" w:rsidR="00D726F9" w:rsidRPr="006947AE" w:rsidRDefault="00D726F9" w:rsidP="006947AE">
            <w:pP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Community Engagement Committee</w:t>
            </w:r>
          </w:p>
        </w:tc>
        <w:tc>
          <w:tcPr>
            <w:tcW w:w="1310" w:type="dxa"/>
          </w:tcPr>
          <w:p w14:paraId="280D67D3" w14:textId="3855CD5F" w:rsidR="00D726F9" w:rsidRPr="006947AE" w:rsidRDefault="00D726F9" w:rsidP="006947AE">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Jun</w:t>
            </w:r>
            <w:r w:rsidR="00E51EDE">
              <w:rPr>
                <w:rFonts w:asciiTheme="minorHAnsi" w:hAnsiTheme="minorHAnsi" w:cstheme="minorHAnsi"/>
                <w:color w:val="auto"/>
                <w:sz w:val="18"/>
                <w:szCs w:val="18"/>
              </w:rPr>
              <w:t xml:space="preserve"> 2020</w:t>
            </w:r>
          </w:p>
        </w:tc>
        <w:tc>
          <w:tcPr>
            <w:tcW w:w="3826" w:type="dxa"/>
          </w:tcPr>
          <w:p w14:paraId="2554DD59" w14:textId="61CA2891" w:rsidR="00D726F9" w:rsidRPr="006947AE" w:rsidRDefault="00D726F9" w:rsidP="006947AE">
            <w:pP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Draft report circulated to Committee, needs Committee meeting to revise and finalize. Committee hoped to meet in person.</w:t>
            </w:r>
          </w:p>
        </w:tc>
        <w:tc>
          <w:tcPr>
            <w:tcW w:w="889" w:type="dxa"/>
          </w:tcPr>
          <w:p w14:paraId="43BC750D" w14:textId="55AF7E98" w:rsidR="00D726F9" w:rsidRPr="006947AE" w:rsidRDefault="00D726F9" w:rsidP="006947AE">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2</w:t>
            </w:r>
          </w:p>
        </w:tc>
      </w:tr>
      <w:tr w:rsidR="00C534BA" w:rsidRPr="006947AE" w14:paraId="0704F36F" w14:textId="77777777" w:rsidTr="00D012F8">
        <w:trPr>
          <w:cantSplit/>
        </w:trPr>
        <w:tc>
          <w:tcPr>
            <w:cnfStyle w:val="001000000000" w:firstRow="0" w:lastRow="0" w:firstColumn="1" w:lastColumn="0" w:oddVBand="0" w:evenVBand="0" w:oddHBand="0" w:evenHBand="0" w:firstRowFirstColumn="0" w:firstRowLastColumn="0" w:lastRowFirstColumn="0" w:lastRowLastColumn="0"/>
            <w:tcW w:w="900" w:type="dxa"/>
            <w:vMerge/>
            <w:tcBorders>
              <w:bottom w:val="single" w:sz="4" w:space="0" w:color="5B9BD5" w:themeColor="accent5"/>
            </w:tcBorders>
          </w:tcPr>
          <w:p w14:paraId="1EC163E4" w14:textId="7CB1AF95" w:rsidR="00D726F9" w:rsidRPr="006947AE" w:rsidRDefault="00D726F9" w:rsidP="006947AE">
            <w:pPr>
              <w:keepNext/>
              <w:jc w:val="left"/>
              <w:rPr>
                <w:rFonts w:asciiTheme="minorHAnsi" w:hAnsiTheme="minorHAnsi" w:cstheme="minorHAnsi"/>
                <w:color w:val="auto"/>
                <w:sz w:val="18"/>
                <w:szCs w:val="18"/>
              </w:rPr>
            </w:pPr>
          </w:p>
        </w:tc>
        <w:tc>
          <w:tcPr>
            <w:tcW w:w="2520" w:type="dxa"/>
            <w:tcBorders>
              <w:bottom w:val="single" w:sz="4" w:space="0" w:color="5B9BD5" w:themeColor="accent5"/>
            </w:tcBorders>
          </w:tcPr>
          <w:p w14:paraId="7C21EAE1" w14:textId="3C57A95A" w:rsidR="00D726F9" w:rsidRPr="006947AE" w:rsidRDefault="00D726F9" w:rsidP="006947AE">
            <w:pPr>
              <w:keepN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EDR Workshops</w:t>
            </w:r>
            <w:r w:rsidR="00DB7D77" w:rsidRPr="006947AE">
              <w:rPr>
                <w:rFonts w:asciiTheme="minorHAnsi" w:hAnsiTheme="minorHAnsi" w:cstheme="minorHAnsi"/>
                <w:color w:val="auto"/>
                <w:sz w:val="18"/>
                <w:szCs w:val="18"/>
              </w:rPr>
              <w:t xml:space="preserve"> **</w:t>
            </w:r>
          </w:p>
        </w:tc>
        <w:tc>
          <w:tcPr>
            <w:tcW w:w="1310" w:type="dxa"/>
            <w:tcBorders>
              <w:bottom w:val="single" w:sz="4" w:space="0" w:color="5B9BD5" w:themeColor="accent5"/>
            </w:tcBorders>
          </w:tcPr>
          <w:p w14:paraId="3C3CBDC3" w14:textId="7E0C36F6" w:rsidR="00D726F9" w:rsidRPr="006947AE" w:rsidRDefault="00D726F9" w:rsidP="006947AE">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Oct</w:t>
            </w:r>
            <w:r w:rsidR="00E51EDE">
              <w:rPr>
                <w:rFonts w:asciiTheme="minorHAnsi" w:hAnsiTheme="minorHAnsi" w:cstheme="minorHAnsi"/>
                <w:color w:val="auto"/>
                <w:sz w:val="18"/>
                <w:szCs w:val="18"/>
              </w:rPr>
              <w:t xml:space="preserve"> 2020</w:t>
            </w:r>
          </w:p>
        </w:tc>
        <w:tc>
          <w:tcPr>
            <w:tcW w:w="3826" w:type="dxa"/>
            <w:tcBorders>
              <w:bottom w:val="single" w:sz="4" w:space="0" w:color="5B9BD5" w:themeColor="accent5"/>
            </w:tcBorders>
          </w:tcPr>
          <w:p w14:paraId="0148BDC8" w14:textId="5394CA19" w:rsidR="00D726F9" w:rsidRPr="006947AE" w:rsidRDefault="00D726F9" w:rsidP="006947AE">
            <w:pPr>
              <w:keepN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 xml:space="preserve">Contractor will compile report by end September on EDR workshops scheduled for summer/early fall, however SSPT recommendations on workshop report </w:t>
            </w:r>
            <w:r w:rsidR="00DB7D77" w:rsidRPr="006947AE">
              <w:rPr>
                <w:rFonts w:asciiTheme="minorHAnsi" w:hAnsiTheme="minorHAnsi" w:cstheme="minorHAnsi"/>
                <w:color w:val="auto"/>
                <w:sz w:val="18"/>
                <w:szCs w:val="18"/>
              </w:rPr>
              <w:t xml:space="preserve">are </w:t>
            </w:r>
            <w:r w:rsidRPr="006947AE">
              <w:rPr>
                <w:rFonts w:asciiTheme="minorHAnsi" w:hAnsiTheme="minorHAnsi" w:cstheme="minorHAnsi"/>
                <w:color w:val="auto"/>
                <w:sz w:val="18"/>
                <w:szCs w:val="18"/>
              </w:rPr>
              <w:t xml:space="preserve">unlikely </w:t>
            </w:r>
            <w:r w:rsidR="00DB7D77" w:rsidRPr="006947AE">
              <w:rPr>
                <w:rFonts w:asciiTheme="minorHAnsi" w:hAnsiTheme="minorHAnsi" w:cstheme="minorHAnsi"/>
                <w:color w:val="auto"/>
                <w:sz w:val="18"/>
                <w:szCs w:val="18"/>
              </w:rPr>
              <w:t>to be ready for</w:t>
            </w:r>
            <w:r w:rsidRPr="006947AE">
              <w:rPr>
                <w:rFonts w:asciiTheme="minorHAnsi" w:hAnsiTheme="minorHAnsi" w:cstheme="minorHAnsi"/>
                <w:color w:val="auto"/>
                <w:sz w:val="18"/>
                <w:szCs w:val="18"/>
              </w:rPr>
              <w:t xml:space="preserve"> the October meeting.</w:t>
            </w:r>
          </w:p>
        </w:tc>
        <w:tc>
          <w:tcPr>
            <w:tcW w:w="889" w:type="dxa"/>
            <w:tcBorders>
              <w:bottom w:val="single" w:sz="4" w:space="0" w:color="5B9BD5" w:themeColor="accent5"/>
            </w:tcBorders>
          </w:tcPr>
          <w:p w14:paraId="5EA55043" w14:textId="48986290" w:rsidR="00D726F9" w:rsidRPr="006947AE" w:rsidRDefault="00D726F9" w:rsidP="006947AE">
            <w:pPr>
              <w:keepN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6947AE">
              <w:rPr>
                <w:rFonts w:asciiTheme="minorHAnsi" w:hAnsiTheme="minorHAnsi" w:cstheme="minorHAnsi"/>
                <w:color w:val="auto"/>
                <w:sz w:val="18"/>
                <w:szCs w:val="18"/>
              </w:rPr>
              <w:t>1</w:t>
            </w:r>
          </w:p>
        </w:tc>
      </w:tr>
      <w:tr w:rsidR="00C534BA" w:rsidRPr="006947AE" w14:paraId="5A99F876" w14:textId="77777777" w:rsidTr="00D012F8">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00" w:type="dxa"/>
            <w:tcBorders>
              <w:bottom w:val="single" w:sz="4" w:space="0" w:color="5B9BD5" w:themeColor="accent5"/>
            </w:tcBorders>
          </w:tcPr>
          <w:p w14:paraId="4808F0C4" w14:textId="4BD025B4" w:rsidR="00C534BA" w:rsidRPr="006947AE" w:rsidRDefault="00C534BA" w:rsidP="006947AE">
            <w:pPr>
              <w:keepNext/>
              <w:rPr>
                <w:rFonts w:asciiTheme="minorHAnsi" w:hAnsiTheme="minorHAnsi" w:cstheme="minorHAnsi"/>
                <w:sz w:val="18"/>
                <w:szCs w:val="18"/>
              </w:rPr>
            </w:pPr>
            <w:r w:rsidRPr="006947AE">
              <w:rPr>
                <w:rFonts w:asciiTheme="minorHAnsi" w:hAnsiTheme="minorHAnsi" w:cstheme="minorHAnsi"/>
                <w:sz w:val="18"/>
                <w:szCs w:val="18"/>
              </w:rPr>
              <w:t>TOTAL</w:t>
            </w:r>
          </w:p>
        </w:tc>
        <w:tc>
          <w:tcPr>
            <w:tcW w:w="2520" w:type="dxa"/>
            <w:tcBorders>
              <w:top w:val="single" w:sz="4" w:space="0" w:color="5B9BD5" w:themeColor="accent5"/>
              <w:bottom w:val="single" w:sz="4" w:space="0" w:color="5B9BD5" w:themeColor="accent5"/>
            </w:tcBorders>
            <w:shd w:val="clear" w:color="auto" w:fill="auto"/>
          </w:tcPr>
          <w:p w14:paraId="1A095C29" w14:textId="77777777" w:rsidR="00C534BA" w:rsidRPr="006947AE" w:rsidRDefault="00C534BA" w:rsidP="006947AE">
            <w:pP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18"/>
                <w:szCs w:val="18"/>
              </w:rPr>
            </w:pPr>
          </w:p>
        </w:tc>
        <w:tc>
          <w:tcPr>
            <w:tcW w:w="1310" w:type="dxa"/>
            <w:tcBorders>
              <w:top w:val="single" w:sz="4" w:space="0" w:color="5B9BD5" w:themeColor="accent5"/>
              <w:bottom w:val="single" w:sz="4" w:space="0" w:color="5B9BD5" w:themeColor="accent5"/>
            </w:tcBorders>
            <w:shd w:val="clear" w:color="auto" w:fill="auto"/>
          </w:tcPr>
          <w:p w14:paraId="742149E9" w14:textId="77777777" w:rsidR="00C534BA" w:rsidRPr="006947AE" w:rsidRDefault="00C534BA" w:rsidP="006947AE">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18"/>
                <w:szCs w:val="18"/>
              </w:rPr>
            </w:pPr>
          </w:p>
        </w:tc>
        <w:tc>
          <w:tcPr>
            <w:tcW w:w="3826" w:type="dxa"/>
            <w:tcBorders>
              <w:top w:val="single" w:sz="4" w:space="0" w:color="5B9BD5" w:themeColor="accent5"/>
              <w:bottom w:val="single" w:sz="4" w:space="0" w:color="5B9BD5" w:themeColor="accent5"/>
            </w:tcBorders>
            <w:shd w:val="clear" w:color="auto" w:fill="auto"/>
          </w:tcPr>
          <w:p w14:paraId="3C1D789D" w14:textId="77777777" w:rsidR="00C534BA" w:rsidRPr="006947AE" w:rsidRDefault="00C534BA" w:rsidP="006947AE">
            <w:pPr>
              <w:keepNex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18"/>
                <w:szCs w:val="18"/>
              </w:rPr>
            </w:pPr>
          </w:p>
        </w:tc>
        <w:tc>
          <w:tcPr>
            <w:tcW w:w="889" w:type="dxa"/>
            <w:tcBorders>
              <w:top w:val="single" w:sz="4" w:space="0" w:color="5B9BD5" w:themeColor="accent5"/>
              <w:bottom w:val="single" w:sz="4" w:space="0" w:color="5B9BD5" w:themeColor="accent5"/>
            </w:tcBorders>
            <w:shd w:val="clear" w:color="auto" w:fill="auto"/>
          </w:tcPr>
          <w:p w14:paraId="51A8FA5F" w14:textId="55E7CE7B" w:rsidR="00C534BA" w:rsidRPr="006947AE" w:rsidRDefault="00ED251B" w:rsidP="006947AE">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18"/>
                <w:szCs w:val="18"/>
              </w:rPr>
            </w:pPr>
            <w:r>
              <w:rPr>
                <w:rFonts w:asciiTheme="minorHAnsi" w:hAnsiTheme="minorHAnsi" w:cstheme="minorHAnsi"/>
                <w:i/>
                <w:iCs/>
                <w:sz w:val="18"/>
                <w:szCs w:val="18"/>
              </w:rPr>
              <w:t>6</w:t>
            </w:r>
            <w:r w:rsidR="00E51EDE">
              <w:rPr>
                <w:rFonts w:asciiTheme="minorHAnsi" w:hAnsiTheme="minorHAnsi" w:cstheme="minorHAnsi"/>
                <w:i/>
                <w:iCs/>
                <w:sz w:val="18"/>
                <w:szCs w:val="18"/>
              </w:rPr>
              <w:t>6</w:t>
            </w:r>
          </w:p>
        </w:tc>
      </w:tr>
    </w:tbl>
    <w:p w14:paraId="0389CBC4" w14:textId="0A08C355" w:rsidR="00DB7D77" w:rsidRDefault="00DB7D77" w:rsidP="006947AE">
      <w:pPr>
        <w:keepNext/>
        <w:spacing w:before="40"/>
        <w:rPr>
          <w:rFonts w:asciiTheme="minorHAnsi" w:hAnsiTheme="minorHAnsi" w:cstheme="minorHAnsi"/>
          <w:sz w:val="16"/>
          <w:szCs w:val="16"/>
        </w:rPr>
      </w:pPr>
      <w:r w:rsidRPr="00DB7D77">
        <w:rPr>
          <w:rFonts w:asciiTheme="minorHAnsi" w:hAnsiTheme="minorHAnsi" w:cstheme="minorHAnsi"/>
          <w:sz w:val="16"/>
          <w:szCs w:val="16"/>
        </w:rPr>
        <w:t xml:space="preserve">* IFQ hired master and IFQ quota share transfer discussion papers are not listed in this table, despite being in the batter’s box, as the Council wanted to review the IFQ access opportunities paper before work starts on those discussion papers. </w:t>
      </w:r>
    </w:p>
    <w:p w14:paraId="0D3A3AFF" w14:textId="63867292" w:rsidR="00DB7D77" w:rsidRPr="00DB7D77" w:rsidRDefault="00DB7D77" w:rsidP="00DB7D77">
      <w:pPr>
        <w:spacing w:before="40" w:after="120"/>
        <w:rPr>
          <w:rFonts w:asciiTheme="minorHAnsi" w:hAnsiTheme="minorHAnsi" w:cstheme="minorHAnsi"/>
          <w:sz w:val="16"/>
          <w:szCs w:val="16"/>
        </w:rPr>
      </w:pPr>
      <w:r>
        <w:rPr>
          <w:rFonts w:asciiTheme="minorHAnsi" w:hAnsiTheme="minorHAnsi" w:cstheme="minorHAnsi"/>
          <w:sz w:val="16"/>
          <w:szCs w:val="16"/>
        </w:rPr>
        <w:t>** The EDR amendment analysis (final action listed in Dec) and the EDR program revisions discussion paper, also both in the batter’s box, are also not included in the table as both are intended to be informed by the EDR workshop and SSPT recommendations.</w:t>
      </w:r>
    </w:p>
    <w:p w14:paraId="38BF8642" w14:textId="42D514BF" w:rsidR="00893815" w:rsidRDefault="0057098D" w:rsidP="008F2D10">
      <w:pPr>
        <w:pStyle w:val="Heading3"/>
      </w:pPr>
      <w:r>
        <w:lastRenderedPageBreak/>
        <w:t xml:space="preserve">Constraints and </w:t>
      </w:r>
      <w:r w:rsidR="00893815">
        <w:t>Options for Future Meeting Planning</w:t>
      </w:r>
    </w:p>
    <w:p w14:paraId="3A0A488C" w14:textId="44FB7277" w:rsidR="00E26F59" w:rsidRDefault="00AC719B" w:rsidP="00E26F59">
      <w:pPr>
        <w:spacing w:after="120"/>
      </w:pPr>
      <w:r>
        <w:t xml:space="preserve">If we were able to return to our normal mode of operation by holding in-person meetings, and the Council were willing to commit to fully-scheduled 7-day meetings in October and December, we </w:t>
      </w:r>
      <w:r w:rsidR="00C94E39">
        <w:t xml:space="preserve">would still be about a day short of </w:t>
      </w:r>
      <w:r>
        <w:t>catch</w:t>
      </w:r>
      <w:r w:rsidR="00C94E39">
        <w:t>ing</w:t>
      </w:r>
      <w:r>
        <w:t xml:space="preserve"> up </w:t>
      </w:r>
      <w:r w:rsidR="00C94E39">
        <w:t xml:space="preserve">on all agenda items in the three-meeting outlook </w:t>
      </w:r>
      <w:r w:rsidR="00124BE5">
        <w:t>by the end of the year</w:t>
      </w:r>
      <w:r>
        <w:t xml:space="preserve">, as well as those not listed </w:t>
      </w:r>
      <w:r w:rsidR="001224E8">
        <w:t xml:space="preserve">but </w:t>
      </w:r>
      <w:r>
        <w:t>that we must take up in December.</w:t>
      </w:r>
      <w:r w:rsidR="00C94E39">
        <w:t xml:space="preserve"> I</w:t>
      </w:r>
      <w:r>
        <w:t xml:space="preserve">t is </w:t>
      </w:r>
      <w:r w:rsidR="00E220B7">
        <w:t xml:space="preserve">not yet clear if </w:t>
      </w:r>
      <w:r>
        <w:t>we will be able to return to a</w:t>
      </w:r>
      <w:r w:rsidR="001224E8">
        <w:t xml:space="preserve"> fully</w:t>
      </w:r>
      <w:r>
        <w:t xml:space="preserve"> “normal” meeting mode in 2020. </w:t>
      </w:r>
    </w:p>
    <w:p w14:paraId="472094B4" w14:textId="1A036C2E" w:rsidR="00AC719B" w:rsidRDefault="00E220B7" w:rsidP="00E26F59">
      <w:pPr>
        <w:spacing w:after="120"/>
      </w:pPr>
      <w:r>
        <w:t>W</w:t>
      </w:r>
      <w:r w:rsidR="00E26F59">
        <w:t xml:space="preserve">ithout a covid-19 vaccine, there </w:t>
      </w:r>
      <w:r>
        <w:t>may be</w:t>
      </w:r>
      <w:r w:rsidR="00E26F59">
        <w:t xml:space="preserve"> some participants in our process</w:t>
      </w:r>
      <w:r>
        <w:t>, including Council, AP, and SSC members</w:t>
      </w:r>
      <w:r w:rsidR="00D5365D">
        <w:t xml:space="preserve"> and staff,</w:t>
      </w:r>
      <w:r w:rsidR="00E26F59">
        <w:t xml:space="preserve"> who are not able to travel to </w:t>
      </w:r>
      <w:r w:rsidR="001A7B87">
        <w:t>or</w:t>
      </w:r>
      <w:r w:rsidR="00E26F59">
        <w:t xml:space="preserve"> attend </w:t>
      </w:r>
      <w:r w:rsidR="001A7B87">
        <w:t xml:space="preserve">large </w:t>
      </w:r>
      <w:r w:rsidR="00E26F59">
        <w:t xml:space="preserve">in-person gatherings such as a Council meeting. Therefore, in order to maintain our transparent and inclusive public process, we are likely going to need to accommodate remote access to the meetings for some time to come, including remote options for </w:t>
      </w:r>
      <w:r w:rsidR="00D5365D">
        <w:t xml:space="preserve">presenters and for </w:t>
      </w:r>
      <w:r w:rsidR="00E26F59">
        <w:t>providing oral public testimony.</w:t>
      </w:r>
    </w:p>
    <w:p w14:paraId="7CF93A2D" w14:textId="46A15D4D" w:rsidR="001224E8" w:rsidRDefault="001224E8" w:rsidP="00E26F59">
      <w:pPr>
        <w:spacing w:after="120"/>
      </w:pPr>
      <w:r>
        <w:t xml:space="preserve">That being the case, we can plan for three potential modes </w:t>
      </w:r>
      <w:r w:rsidR="001A7B87">
        <w:t>of</w:t>
      </w:r>
      <w:r>
        <w:t xml:space="preserve"> holding Council meetings (and, by extension, </w:t>
      </w:r>
      <w:r w:rsidR="00AE3D06">
        <w:t>C</w:t>
      </w:r>
      <w:r>
        <w:t>ommittee and Plan Team meetings) for the foreseeable future, depending on prevailing conditions. These modes are:</w:t>
      </w:r>
    </w:p>
    <w:p w14:paraId="1987FE19" w14:textId="37F2D763" w:rsidR="001224E8" w:rsidRDefault="001224E8" w:rsidP="007D20B0">
      <w:pPr>
        <w:pStyle w:val="ListParagraph"/>
        <w:numPr>
          <w:ilvl w:val="0"/>
          <w:numId w:val="28"/>
        </w:numPr>
        <w:spacing w:after="120"/>
        <w:contextualSpacing w:val="0"/>
      </w:pPr>
      <w:r>
        <w:t xml:space="preserve">“Normal” in-person meeting, but with a remote </w:t>
      </w:r>
      <w:r w:rsidR="00D5365D">
        <w:t xml:space="preserve">presentation and </w:t>
      </w:r>
      <w:r>
        <w:t>testimony option</w:t>
      </w:r>
      <w:r w:rsidR="00D11CE7">
        <w:t xml:space="preserve"> </w:t>
      </w:r>
      <w:r w:rsidR="007D20B0">
        <w:t>as necessary,</w:t>
      </w:r>
      <w:r w:rsidR="00D11CE7">
        <w:t xml:space="preserve"> </w:t>
      </w:r>
      <w:r w:rsidR="00D5365D">
        <w:t xml:space="preserve">and </w:t>
      </w:r>
      <w:r w:rsidR="00D11CE7">
        <w:t>more meeting space to allow for increased distancing.</w:t>
      </w:r>
    </w:p>
    <w:p w14:paraId="3860FBAB" w14:textId="38244BD3" w:rsidR="001224E8" w:rsidRDefault="001224E8" w:rsidP="007D20B0">
      <w:pPr>
        <w:pStyle w:val="ListParagraph"/>
        <w:numPr>
          <w:ilvl w:val="0"/>
          <w:numId w:val="28"/>
        </w:numPr>
        <w:spacing w:after="120"/>
        <w:contextualSpacing w:val="0"/>
      </w:pPr>
      <w:r>
        <w:t xml:space="preserve">Hybrid approach: Council/panel members </w:t>
      </w:r>
      <w:r w:rsidR="00216AE6">
        <w:t xml:space="preserve">(who are willing and able to travel) </w:t>
      </w:r>
      <w:r>
        <w:t>meet in person</w:t>
      </w:r>
      <w:r w:rsidR="007D20B0">
        <w:t xml:space="preserve"> to facilitate discussion</w:t>
      </w:r>
      <w:r>
        <w:t>,</w:t>
      </w:r>
      <w:r w:rsidR="00D11CE7">
        <w:t xml:space="preserve"> appropriately distanced as need be</w:t>
      </w:r>
      <w:r w:rsidR="007D20B0">
        <w:t>. M</w:t>
      </w:r>
      <w:r>
        <w:t xml:space="preserve">eetings are broadcast on video, and remote testimony is permitted. </w:t>
      </w:r>
    </w:p>
    <w:p w14:paraId="3C7AA8B9" w14:textId="48BD9951" w:rsidR="001224E8" w:rsidRDefault="001224E8" w:rsidP="001224E8">
      <w:pPr>
        <w:pStyle w:val="ListParagraph"/>
        <w:numPr>
          <w:ilvl w:val="0"/>
          <w:numId w:val="28"/>
        </w:numPr>
        <w:spacing w:after="120"/>
      </w:pPr>
      <w:r>
        <w:t>Virtual meetings.</w:t>
      </w:r>
    </w:p>
    <w:p w14:paraId="041421BD" w14:textId="5968B15F" w:rsidR="00746F81" w:rsidRDefault="00893815" w:rsidP="00746F81">
      <w:pPr>
        <w:spacing w:after="120"/>
      </w:pPr>
      <w:r>
        <w:t>How do we decide which mode</w:t>
      </w:r>
      <w:r w:rsidR="00D11CE7">
        <w:t xml:space="preserve"> will be necessary for a given meeting</w:t>
      </w:r>
      <w:r>
        <w:t xml:space="preserve">? </w:t>
      </w:r>
      <w:r w:rsidR="00746F81">
        <w:t xml:space="preserve">The final decision about whether a Council meeting is in person or virtual will be made by the Chair, in consultation with the Executive Director. For Committee and Plan Team meetings, the final decision will be made by the Executive Director. </w:t>
      </w:r>
      <w:r w:rsidR="00D11CE7">
        <w:t xml:space="preserve">To the extent possible, we will take into account various </w:t>
      </w:r>
      <w:r w:rsidR="008C5D2A">
        <w:t xml:space="preserve">health and safety </w:t>
      </w:r>
      <w:r w:rsidR="00D11CE7">
        <w:t xml:space="preserve">factors, such as general U.S. guidelines on social distancing, Alaska/ Washington/ Oregon travel and shelter-in-place restrictions, and specific advisories for at-risk individuals. We also need to consider NMFS’ policies on staff travel, as we have been informed that the agency’s travel approval </w:t>
      </w:r>
      <w:r w:rsidR="00746F81">
        <w:t xml:space="preserve">process </w:t>
      </w:r>
      <w:r w:rsidR="00D11CE7">
        <w:t xml:space="preserve">is tightly constricted and likely to remain so for the foreseeable future. </w:t>
      </w:r>
      <w:r w:rsidR="00746F81">
        <w:t xml:space="preserve">Regarding where to hold in-person meetings, we will adhere to the locations as announced on our website if possible, as we have hotel contracts in place for all Council meetings for the next 2+ years. </w:t>
      </w:r>
    </w:p>
    <w:p w14:paraId="29813A53" w14:textId="30939577" w:rsidR="00746F81" w:rsidRDefault="00746F81" w:rsidP="008C5D2A">
      <w:pPr>
        <w:spacing w:after="120"/>
      </w:pPr>
      <w:r>
        <w:t xml:space="preserve">We suggest that it should be our goal to make final decisions about </w:t>
      </w:r>
      <w:r w:rsidR="007E6A3F">
        <w:t>the</w:t>
      </w:r>
      <w:r>
        <w:t xml:space="preserve"> mode </w:t>
      </w:r>
      <w:r w:rsidR="007E6A3F">
        <w:t xml:space="preserve">for </w:t>
      </w:r>
      <w:r>
        <w:t xml:space="preserve">an upcoming meeting </w:t>
      </w:r>
      <w:r w:rsidRPr="00216AE6">
        <w:t xml:space="preserve">approximately </w:t>
      </w:r>
      <w:r w:rsidR="008C5D2A" w:rsidRPr="00216AE6">
        <w:t>4-</w:t>
      </w:r>
      <w:r w:rsidRPr="008C5D2A">
        <w:t>6</w:t>
      </w:r>
      <w:r>
        <w:t xml:space="preserve"> weeks in advance of the meeting</w:t>
      </w:r>
      <w:r w:rsidR="00B664AD">
        <w:t>, to</w:t>
      </w:r>
      <w:r w:rsidR="00216AE6">
        <w:t xml:space="preserve"> provide notice to the hotel and</w:t>
      </w:r>
      <w:r w:rsidR="00B664AD">
        <w:t xml:space="preserve"> allow members and stakeholders to plan accordingly</w:t>
      </w:r>
      <w:r>
        <w:t xml:space="preserve">. </w:t>
      </w:r>
      <w:r w:rsidR="008C5D2A">
        <w:t xml:space="preserve">This is consistent with our guidelines about arranging travel. That being said, there may be instances where unforeseen circumstances arise and we need to cancel the in-person component of meetings on a shorter timeframe. </w:t>
      </w:r>
    </w:p>
    <w:p w14:paraId="16E67872" w14:textId="1D6BCCF8" w:rsidR="00893815" w:rsidRDefault="008C5D2A" w:rsidP="007D20B0">
      <w:pPr>
        <w:spacing w:after="120"/>
      </w:pPr>
      <w:r>
        <w:t>A</w:t>
      </w:r>
      <w:r w:rsidR="00746F81">
        <w:t xml:space="preserve">dditional input </w:t>
      </w:r>
      <w:r>
        <w:t xml:space="preserve">from </w:t>
      </w:r>
      <w:r w:rsidR="00746F81">
        <w:t xml:space="preserve">Council </w:t>
      </w:r>
      <w:r>
        <w:t>members would be</w:t>
      </w:r>
      <w:r w:rsidR="00746F81">
        <w:t xml:space="preserve"> appreciated on the following </w:t>
      </w:r>
      <w:r>
        <w:t>considerations:</w:t>
      </w:r>
    </w:p>
    <w:p w14:paraId="599DE70C" w14:textId="467270B0" w:rsidR="008C5D2A" w:rsidRDefault="00893815" w:rsidP="007D20B0">
      <w:pPr>
        <w:pStyle w:val="ListParagraph"/>
        <w:numPr>
          <w:ilvl w:val="0"/>
          <w:numId w:val="30"/>
        </w:numPr>
        <w:spacing w:after="120"/>
        <w:contextualSpacing w:val="0"/>
      </w:pPr>
      <w:r>
        <w:t xml:space="preserve">Are there </w:t>
      </w:r>
      <w:r w:rsidR="00746F81">
        <w:t>some</w:t>
      </w:r>
      <w:r>
        <w:t xml:space="preserve"> </w:t>
      </w:r>
      <w:r w:rsidR="00746F81">
        <w:t xml:space="preserve">agenda items that are </w:t>
      </w:r>
      <w:r w:rsidR="008C5D2A">
        <w:t xml:space="preserve">more difficult to successfully address in a virtual meeting (or others for which the meeting mode makes little difference)? </w:t>
      </w:r>
      <w:r w:rsidR="00863E20">
        <w:t>How c</w:t>
      </w:r>
      <w:r w:rsidR="008C5D2A">
        <w:t xml:space="preserve">an we identify the characteristics that differentiate these agenda items? </w:t>
      </w:r>
    </w:p>
    <w:p w14:paraId="67E9BC98" w14:textId="65BFBF27" w:rsidR="00863E20" w:rsidRDefault="00863E20" w:rsidP="007D20B0">
      <w:pPr>
        <w:pStyle w:val="ListParagraph"/>
        <w:numPr>
          <w:ilvl w:val="0"/>
          <w:numId w:val="30"/>
        </w:numPr>
        <w:spacing w:after="120"/>
        <w:contextualSpacing w:val="0"/>
      </w:pPr>
      <w:r>
        <w:t xml:space="preserve">At this meeting, we chose not to have concurrent SSC-AP-Council sessions to simplify logistics </w:t>
      </w:r>
      <w:r w:rsidR="00A93497">
        <w:t>for our first</w:t>
      </w:r>
      <w:r>
        <w:t xml:space="preserve"> virtual meeting. This required us to shorten the meeting agenda to fit it still</w:t>
      </w:r>
      <w:r w:rsidR="008D0F71">
        <w:t xml:space="preserve"> (mostly)</w:t>
      </w:r>
      <w:r>
        <w:t xml:space="preserve"> within the scheduled June dates. </w:t>
      </w:r>
      <w:r w:rsidR="006D2C4E">
        <w:t>In a virtual mode, holding concurrent meetings would be a significant administrative lift for us. W</w:t>
      </w:r>
      <w:r w:rsidR="00A93497">
        <w:t xml:space="preserve">e cannot have </w:t>
      </w:r>
      <w:r w:rsidR="008D0F71">
        <w:t xml:space="preserve">both </w:t>
      </w:r>
      <w:r w:rsidR="00A93497">
        <w:t>a full agenda and</w:t>
      </w:r>
      <w:r w:rsidR="006214EA">
        <w:t xml:space="preserve"> staggered meetings without one of those groups changing their meeting dates – and as you all know, people plan many months ahead around the Council dates, so that will likely </w:t>
      </w:r>
      <w:r w:rsidR="007D20B0">
        <w:t xml:space="preserve">mean </w:t>
      </w:r>
      <w:r w:rsidR="006214EA">
        <w:t>reduce</w:t>
      </w:r>
      <w:r w:rsidR="007D20B0">
        <w:t>d</w:t>
      </w:r>
      <w:r w:rsidR="006214EA">
        <w:t xml:space="preserve"> participation. </w:t>
      </w:r>
    </w:p>
    <w:p w14:paraId="4A4E8122" w14:textId="28D9BA7E" w:rsidR="007D20B0" w:rsidRDefault="007D20B0" w:rsidP="007D20B0">
      <w:pPr>
        <w:pStyle w:val="ListParagraph"/>
        <w:numPr>
          <w:ilvl w:val="0"/>
          <w:numId w:val="30"/>
        </w:numPr>
        <w:spacing w:after="120"/>
        <w:contextualSpacing w:val="0"/>
      </w:pPr>
      <w:r>
        <w:lastRenderedPageBreak/>
        <w:t>As we plan for the future, and based on your experience, is it reasonable to assume Council/ AP/ SSC members and staff can participate in 8-hour, multi-day virtual meetings just as they did in person? Is there a virtual fatigue factor that should be accounted for</w:t>
      </w:r>
      <w:r w:rsidR="008D0F71">
        <w:t>, and</w:t>
      </w:r>
      <w:r>
        <w:t xml:space="preserve"> </w:t>
      </w:r>
      <w:r w:rsidR="008D0F71">
        <w:t>i</w:t>
      </w:r>
      <w:r>
        <w:t>f so, what is an optimal meeting day length</w:t>
      </w:r>
      <w:r w:rsidR="007E6A3F">
        <w:t>/multi-day maximum</w:t>
      </w:r>
      <w:r>
        <w:t xml:space="preserve">? Should we schedule virtual meetings on weekends? </w:t>
      </w:r>
    </w:p>
    <w:p w14:paraId="61AF81C2" w14:textId="2BDF4ED3" w:rsidR="00893815" w:rsidRPr="007E476D" w:rsidRDefault="00A93497" w:rsidP="007D20B0">
      <w:pPr>
        <w:pStyle w:val="ListParagraph"/>
        <w:numPr>
          <w:ilvl w:val="0"/>
          <w:numId w:val="30"/>
        </w:numPr>
        <w:spacing w:after="120"/>
        <w:contextualSpacing w:val="0"/>
      </w:pPr>
      <w:r>
        <w:t>For</w:t>
      </w:r>
      <w:r w:rsidR="008C5D2A">
        <w:t xml:space="preserve"> virtual meetings, we are not bound by the travel efficiency that advantages </w:t>
      </w:r>
      <w:r>
        <w:t xml:space="preserve">our typical Council meeting 6-7 day agenda. Is there interest in </w:t>
      </w:r>
      <w:r w:rsidR="006214EA">
        <w:t>considering changes to the</w:t>
      </w:r>
      <w:r>
        <w:t xml:space="preserve"> meeting schedule for the remainder of the year</w:t>
      </w:r>
      <w:r w:rsidR="007D20B0">
        <w:t xml:space="preserve"> or beyond</w:t>
      </w:r>
      <w:r>
        <w:t xml:space="preserve">, </w:t>
      </w:r>
      <w:r w:rsidR="006214EA">
        <w:t>such as</w:t>
      </w:r>
      <w:r>
        <w:t xml:space="preserve"> adding 1-2 day</w:t>
      </w:r>
      <w:r w:rsidR="006214EA">
        <w:t xml:space="preserve"> issue-specific</w:t>
      </w:r>
      <w:r>
        <w:t xml:space="preserve"> virtual meeting</w:t>
      </w:r>
      <w:r w:rsidR="007E6A3F">
        <w:t>s</w:t>
      </w:r>
      <w:r w:rsidR="006214EA">
        <w:t xml:space="preserve"> </w:t>
      </w:r>
      <w:r>
        <w:t xml:space="preserve">that would </w:t>
      </w:r>
      <w:r w:rsidR="006214EA">
        <w:t>compensate for potentially shorter regularly-scheduled meetings if they need to be virtual? This should be considered in conjunction with Council feedback on the priority and urgency of items on the 3-meeting outlook.</w:t>
      </w:r>
    </w:p>
    <w:p w14:paraId="1BEF13C4" w14:textId="77777777" w:rsidR="00E9746E" w:rsidRPr="00340ADE" w:rsidRDefault="00E9746E" w:rsidP="00555918">
      <w:pPr>
        <w:pStyle w:val="Heading1"/>
      </w:pPr>
      <w:r w:rsidRPr="00340ADE">
        <w:t xml:space="preserve">Public </w:t>
      </w:r>
      <w:r w:rsidRPr="00F32AFF">
        <w:t>comment</w:t>
      </w:r>
    </w:p>
    <w:p w14:paraId="3DD60F1C" w14:textId="0C91592C" w:rsidR="00E9746E" w:rsidRDefault="00E9746E" w:rsidP="00D2314C">
      <w:pPr>
        <w:spacing w:after="120"/>
      </w:pPr>
      <w:r>
        <w:t>The p</w:t>
      </w:r>
      <w:r w:rsidRPr="0085584F">
        <w:t xml:space="preserve">ublic comment letters </w:t>
      </w:r>
      <w:r>
        <w:t xml:space="preserve">submitted </w:t>
      </w:r>
      <w:r w:rsidRPr="0085584F">
        <w:t>for your review and consideration</w:t>
      </w:r>
      <w:r>
        <w:t xml:space="preserve"> are linked to the agenda</w:t>
      </w:r>
      <w:r w:rsidRPr="0085584F">
        <w:t>.</w:t>
      </w:r>
    </w:p>
    <w:p w14:paraId="51A5DCEC" w14:textId="6D5082F8" w:rsidR="00D2314C" w:rsidRDefault="00E0338B" w:rsidP="00D2314C">
      <w:pPr>
        <w:spacing w:after="60"/>
      </w:pPr>
      <w:r w:rsidRPr="00D16406">
        <w:t xml:space="preserve">Included in the </w:t>
      </w:r>
      <w:r w:rsidR="001C464A" w:rsidRPr="00D16406">
        <w:t>public comment</w:t>
      </w:r>
      <w:r w:rsidRPr="00D16406">
        <w:t xml:space="preserve">s is </w:t>
      </w:r>
      <w:r w:rsidR="001C464A" w:rsidRPr="00D16406">
        <w:t xml:space="preserve">a request for emergency </w:t>
      </w:r>
      <w:r w:rsidRPr="00D16406">
        <w:t>action, to increase the BSAI her</w:t>
      </w:r>
      <w:r w:rsidR="00D16406">
        <w:t>r</w:t>
      </w:r>
      <w:r w:rsidRPr="00D16406">
        <w:t>ing prohibited species catch (PSC) allowance from 1</w:t>
      </w:r>
      <w:r w:rsidR="00D16406" w:rsidRPr="00D16406">
        <w:t xml:space="preserve">% of the eastern Bering Sea </w:t>
      </w:r>
      <w:r w:rsidR="00C014B4">
        <w:t xml:space="preserve">(EBS) </w:t>
      </w:r>
      <w:r w:rsidR="00D16406" w:rsidRPr="00D16406">
        <w:t xml:space="preserve">herring biomass (2,532 mt) to 2%, alleviating </w:t>
      </w:r>
      <w:r w:rsidR="00D2314C">
        <w:t>H</w:t>
      </w:r>
      <w:r w:rsidR="00D16406" w:rsidRPr="00D16406">
        <w:t xml:space="preserve">erring </w:t>
      </w:r>
      <w:r w:rsidR="00D2314C">
        <w:t>S</w:t>
      </w:r>
      <w:r w:rsidR="00D16406" w:rsidRPr="00D16406">
        <w:t xml:space="preserve">avings </w:t>
      </w:r>
      <w:r w:rsidR="00D2314C">
        <w:t>A</w:t>
      </w:r>
      <w:r w:rsidR="00D16406" w:rsidRPr="00D16406">
        <w:t>rea closures</w:t>
      </w:r>
      <w:r w:rsidR="00D16406">
        <w:t xml:space="preserve"> from being triggered</w:t>
      </w:r>
      <w:r w:rsidR="00D16406" w:rsidRPr="00D16406">
        <w:t xml:space="preserve">. </w:t>
      </w:r>
      <w:r w:rsidR="00D2314C">
        <w:t xml:space="preserve">As you will recall from the May 2020 special meeting, </w:t>
      </w:r>
      <w:r w:rsidR="00D2314C">
        <w:t xml:space="preserve">Section 305(c) of the Magnuson-Stevens Act provides authority for rulemaking to address an emergency. Under that section, a Council may request emergency rulemaking if it finds an emergency exists. NMFS's </w:t>
      </w:r>
      <w:hyperlink r:id="rId9" w:history="1">
        <w:r w:rsidR="00D2314C" w:rsidRPr="00D2314C">
          <w:rPr>
            <w:rStyle w:val="Hyperlink"/>
          </w:rPr>
          <w:t>Policy Guidelines for the Use of Emergency Rules</w:t>
        </w:r>
      </w:hyperlink>
      <w:r w:rsidR="00D2314C">
        <w:t xml:space="preserve"> provide that </w:t>
      </w:r>
      <w:r w:rsidR="00D2314C" w:rsidRPr="00D2314C">
        <w:rPr>
          <w:b/>
          <w:bCs/>
        </w:rPr>
        <w:t>the legal prerequisite for such rulemaking is that an emergency must exist, and that NMFS must have an administrative record justifying emergency regulatory action and demonstrating compliance with the Magnuson-Stevens Act and the National Standards</w:t>
      </w:r>
      <w:r w:rsidR="00D2314C">
        <w:t>. Emergency rulemaking is intended for circumstances that are “extremely urgent,” where “substantial harm to or disruption of the fishery would be caused in the time it would take to follow standard rulemaking procedures.” The guidelines include three criteria that define an emergency:</w:t>
      </w:r>
      <w:r w:rsidR="00D2314C">
        <w:t xml:space="preserve"> </w:t>
      </w:r>
    </w:p>
    <w:p w14:paraId="7A466422" w14:textId="77777777" w:rsidR="00D2314C" w:rsidRDefault="00D2314C" w:rsidP="00D2314C">
      <w:pPr>
        <w:pStyle w:val="ListParagraph"/>
        <w:numPr>
          <w:ilvl w:val="0"/>
          <w:numId w:val="32"/>
        </w:numPr>
      </w:pPr>
      <w:r>
        <w:t>Results from recent, unforeseen events or recently discovered circumstances;</w:t>
      </w:r>
      <w:r>
        <w:t xml:space="preserve"> </w:t>
      </w:r>
    </w:p>
    <w:p w14:paraId="23EC481D" w14:textId="77777777" w:rsidR="00D2314C" w:rsidRDefault="00D2314C" w:rsidP="00D2314C">
      <w:pPr>
        <w:pStyle w:val="ListParagraph"/>
        <w:numPr>
          <w:ilvl w:val="0"/>
          <w:numId w:val="32"/>
        </w:numPr>
      </w:pPr>
      <w:r>
        <w:t>Presents serious conservation or management problems in the fishery; and</w:t>
      </w:r>
      <w:r>
        <w:t xml:space="preserve"> </w:t>
      </w:r>
    </w:p>
    <w:p w14:paraId="36067AB7" w14:textId="1A0FF180" w:rsidR="00D2314C" w:rsidRDefault="00D2314C" w:rsidP="00D2314C">
      <w:pPr>
        <w:pStyle w:val="ListParagraph"/>
        <w:numPr>
          <w:ilvl w:val="0"/>
          <w:numId w:val="32"/>
        </w:numPr>
      </w:pPr>
      <w:r>
        <w:t>Can be addressed through emergency regulations for which the immediate benefits outweigh the value of advance notice, public comment, and deliberative consideration of the impacts on participants to the same extent as would be expected under the normal rulemaking proces</w:t>
      </w:r>
      <w:r>
        <w:t>s.</w:t>
      </w:r>
    </w:p>
    <w:p w14:paraId="2D5A470C" w14:textId="77777777" w:rsidR="00D2314C" w:rsidRDefault="00D2314C" w:rsidP="00D2314C"/>
    <w:p w14:paraId="256EFC8C" w14:textId="301E3A87" w:rsidR="00D753BD" w:rsidRDefault="00D16406" w:rsidP="00C014B4">
      <w:pPr>
        <w:spacing w:after="60"/>
      </w:pPr>
      <w:r w:rsidRPr="00D16406">
        <w:t xml:space="preserve">While the petitioners provide </w:t>
      </w:r>
      <w:r>
        <w:t xml:space="preserve">data and </w:t>
      </w:r>
      <w:r w:rsidR="00D2314C">
        <w:t xml:space="preserve">an </w:t>
      </w:r>
      <w:r>
        <w:t>impact</w:t>
      </w:r>
      <w:r w:rsidR="00D2314C">
        <w:t>s</w:t>
      </w:r>
      <w:r w:rsidRPr="00D16406">
        <w:t xml:space="preserve"> </w:t>
      </w:r>
      <w:r>
        <w:t xml:space="preserve">discussion to </w:t>
      </w:r>
      <w:r w:rsidRPr="00D16406">
        <w:t xml:space="preserve">support their request, </w:t>
      </w:r>
      <w:r w:rsidR="00C014B4" w:rsidRPr="00D16406">
        <w:t xml:space="preserve">we have also attached </w:t>
      </w:r>
      <w:r w:rsidR="00C014B4">
        <w:t xml:space="preserve">a presentation containing </w:t>
      </w:r>
      <w:r w:rsidR="00D2314C">
        <w:t xml:space="preserve">some additional </w:t>
      </w:r>
      <w:r w:rsidR="00C014B4">
        <w:t>information</w:t>
      </w:r>
      <w:r w:rsidR="00C014B4" w:rsidRPr="00D16406">
        <w:t xml:space="preserve"> that may </w:t>
      </w:r>
      <w:r w:rsidR="00C014B4">
        <w:t>be</w:t>
      </w:r>
      <w:r w:rsidR="00C014B4" w:rsidRPr="00D16406">
        <w:t xml:space="preserve"> useful in your deliberation</w:t>
      </w:r>
      <w:r w:rsidR="00C014B4">
        <w:t xml:space="preserve">. The </w:t>
      </w:r>
      <w:r w:rsidR="00D753BD">
        <w:t>document</w:t>
      </w:r>
      <w:r w:rsidR="00C014B4">
        <w:t xml:space="preserve"> includes</w:t>
      </w:r>
      <w:r w:rsidR="00D753BD">
        <w:t>:</w:t>
      </w:r>
      <w:r w:rsidR="00C014B4">
        <w:t xml:space="preserve"> </w:t>
      </w:r>
    </w:p>
    <w:p w14:paraId="38C7721E" w14:textId="77777777" w:rsidR="00D753BD" w:rsidRDefault="00C014B4" w:rsidP="00D753BD">
      <w:pPr>
        <w:pStyle w:val="ListParagraph"/>
        <w:numPr>
          <w:ilvl w:val="0"/>
          <w:numId w:val="33"/>
        </w:numPr>
        <w:spacing w:after="60"/>
      </w:pPr>
      <w:r>
        <w:t xml:space="preserve">EBS herring population abundance estimates through 2019; </w:t>
      </w:r>
    </w:p>
    <w:p w14:paraId="63ECCDFB" w14:textId="77777777" w:rsidR="00D753BD" w:rsidRDefault="00D2314C" w:rsidP="00D753BD">
      <w:pPr>
        <w:pStyle w:val="ListParagraph"/>
        <w:numPr>
          <w:ilvl w:val="0"/>
          <w:numId w:val="33"/>
        </w:numPr>
        <w:spacing w:after="60"/>
      </w:pPr>
      <w:r>
        <w:t xml:space="preserve">herring </w:t>
      </w:r>
      <w:r w:rsidR="00C014B4">
        <w:t xml:space="preserve">PSC limits; </w:t>
      </w:r>
    </w:p>
    <w:p w14:paraId="3574BE37" w14:textId="20BAD992" w:rsidR="00D753BD" w:rsidRDefault="00D753BD" w:rsidP="00D753BD">
      <w:pPr>
        <w:pStyle w:val="ListParagraph"/>
        <w:numPr>
          <w:ilvl w:val="0"/>
          <w:numId w:val="33"/>
        </w:numPr>
        <w:spacing w:after="60"/>
      </w:pPr>
      <w:r>
        <w:t xml:space="preserve">herring </w:t>
      </w:r>
      <w:r w:rsidR="00C014B4">
        <w:t>PSC usage through the 2020 pollock A season</w:t>
      </w:r>
      <w:r>
        <w:t>;</w:t>
      </w:r>
    </w:p>
    <w:p w14:paraId="353EC8C2" w14:textId="268ACA04" w:rsidR="00D753BD" w:rsidRDefault="00C014B4" w:rsidP="00D753BD">
      <w:pPr>
        <w:pStyle w:val="ListParagraph"/>
        <w:numPr>
          <w:ilvl w:val="0"/>
          <w:numId w:val="33"/>
        </w:numPr>
        <w:spacing w:after="60"/>
      </w:pPr>
      <w:r>
        <w:t xml:space="preserve">observed spatial location of PSC encounters; </w:t>
      </w:r>
    </w:p>
    <w:p w14:paraId="10D06A4D" w14:textId="77777777" w:rsidR="00D753BD" w:rsidRDefault="00C014B4" w:rsidP="00D753BD">
      <w:pPr>
        <w:pStyle w:val="ListParagraph"/>
        <w:numPr>
          <w:ilvl w:val="0"/>
          <w:numId w:val="33"/>
        </w:numPr>
        <w:spacing w:after="60"/>
      </w:pPr>
      <w:r>
        <w:t xml:space="preserve">a description of the Herring Savings Areas (HSA) and their timing; and </w:t>
      </w:r>
    </w:p>
    <w:p w14:paraId="580E74E5" w14:textId="44A88A5A" w:rsidR="00E9746E" w:rsidRDefault="00C014B4" w:rsidP="00D753BD">
      <w:pPr>
        <w:pStyle w:val="ListParagraph"/>
        <w:numPr>
          <w:ilvl w:val="0"/>
          <w:numId w:val="33"/>
        </w:numPr>
        <w:spacing w:after="60"/>
      </w:pPr>
      <w:r>
        <w:t>background information on herring migration patterns in the EBS.</w:t>
      </w:r>
      <w:r w:rsidR="0023001A">
        <w:t xml:space="preserve"> </w:t>
      </w:r>
    </w:p>
    <w:sectPr w:rsidR="00E9746E" w:rsidSect="00A17C89">
      <w:headerReference w:type="default"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716EAE" w14:textId="77777777" w:rsidR="00FF1C2B" w:rsidRDefault="00FF1C2B" w:rsidP="00950EE0">
      <w:r>
        <w:separator/>
      </w:r>
    </w:p>
    <w:p w14:paraId="7BAFF721" w14:textId="77777777" w:rsidR="00FF1C2B" w:rsidRDefault="00FF1C2B"/>
  </w:endnote>
  <w:endnote w:type="continuationSeparator" w:id="0">
    <w:p w14:paraId="66F845ED" w14:textId="77777777" w:rsidR="00FF1C2B" w:rsidRDefault="00FF1C2B" w:rsidP="00950EE0">
      <w:r>
        <w:continuationSeparator/>
      </w:r>
    </w:p>
    <w:p w14:paraId="5D9F88EF" w14:textId="77777777" w:rsidR="00FF1C2B" w:rsidRDefault="00FF1C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CCE7A" w14:textId="77777777" w:rsidR="008657D3" w:rsidRPr="002B7FD1" w:rsidRDefault="008657D3" w:rsidP="004C2ADC">
    <w:pPr>
      <w:pStyle w:val="Header"/>
      <w:jc w:val="right"/>
      <w:rPr>
        <w:rFonts w:asciiTheme="minorHAnsi" w:hAnsiTheme="minorHAnsi" w:cstheme="minorHAnsi"/>
        <w:color w:val="808080" w:themeColor="background1" w:themeShade="80"/>
        <w:sz w:val="16"/>
        <w:szCs w:val="16"/>
      </w:rPr>
    </w:pPr>
    <w:r w:rsidRPr="00135CA5">
      <w:rPr>
        <w:rFonts w:ascii="Arial" w:hAnsi="Arial" w:cs="Arial"/>
        <w:color w:val="808080" w:themeColor="background1" w:themeShade="80"/>
        <w:sz w:val="18"/>
        <w:szCs w:val="18"/>
      </w:rPr>
      <w:fldChar w:fldCharType="begin"/>
    </w:r>
    <w:r w:rsidRPr="00135CA5">
      <w:rPr>
        <w:rFonts w:ascii="Arial" w:hAnsi="Arial" w:cs="Arial"/>
        <w:color w:val="808080" w:themeColor="background1" w:themeShade="80"/>
        <w:sz w:val="18"/>
        <w:szCs w:val="18"/>
      </w:rPr>
      <w:instrText xml:space="preserve"> PAGE   \* MERGEFORMAT </w:instrText>
    </w:r>
    <w:r w:rsidRPr="00135CA5">
      <w:rPr>
        <w:rFonts w:ascii="Arial" w:hAnsi="Arial" w:cs="Arial"/>
        <w:color w:val="808080" w:themeColor="background1" w:themeShade="80"/>
        <w:sz w:val="18"/>
        <w:szCs w:val="18"/>
      </w:rPr>
      <w:fldChar w:fldCharType="separate"/>
    </w:r>
    <w:r>
      <w:rPr>
        <w:rFonts w:ascii="Arial" w:hAnsi="Arial" w:cs="Arial"/>
        <w:color w:val="808080" w:themeColor="background1" w:themeShade="80"/>
        <w:sz w:val="18"/>
        <w:szCs w:val="18"/>
      </w:rPr>
      <w:t>1</w:t>
    </w:r>
    <w:r w:rsidRPr="00135CA5">
      <w:rPr>
        <w:rFonts w:ascii="Arial" w:hAnsi="Arial" w:cs="Arial"/>
        <w:noProof/>
        <w:color w:val="808080" w:themeColor="background1" w:themeShade="80"/>
        <w:sz w:val="18"/>
        <w:szCs w:val="18"/>
      </w:rPr>
      <w:fldChar w:fldCharType="end"/>
    </w:r>
  </w:p>
  <w:p w14:paraId="7C080364" w14:textId="77777777" w:rsidR="008657D3" w:rsidRDefault="008657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EE3BD" w14:textId="77777777" w:rsidR="008657D3" w:rsidRPr="001F7ECF" w:rsidRDefault="008657D3" w:rsidP="004C2ADC">
    <w:pPr>
      <w:pStyle w:val="Header"/>
      <w:jc w:val="right"/>
      <w:rPr>
        <w:rFonts w:asciiTheme="minorHAnsi" w:hAnsiTheme="minorHAnsi" w:cstheme="minorHAnsi"/>
        <w:color w:val="808080" w:themeColor="background1" w:themeShade="80"/>
        <w:sz w:val="16"/>
        <w:szCs w:val="16"/>
      </w:rPr>
    </w:pPr>
    <w:r w:rsidRPr="00135CA5">
      <w:rPr>
        <w:rFonts w:ascii="Arial" w:hAnsi="Arial" w:cs="Arial"/>
        <w:color w:val="808080" w:themeColor="background1" w:themeShade="80"/>
        <w:sz w:val="18"/>
        <w:szCs w:val="18"/>
      </w:rPr>
      <w:fldChar w:fldCharType="begin"/>
    </w:r>
    <w:r w:rsidRPr="00135CA5">
      <w:rPr>
        <w:rFonts w:ascii="Arial" w:hAnsi="Arial" w:cs="Arial"/>
        <w:color w:val="808080" w:themeColor="background1" w:themeShade="80"/>
        <w:sz w:val="18"/>
        <w:szCs w:val="18"/>
      </w:rPr>
      <w:instrText xml:space="preserve"> PAGE   \* MERGEFORMAT </w:instrText>
    </w:r>
    <w:r w:rsidRPr="00135CA5">
      <w:rPr>
        <w:rFonts w:ascii="Arial" w:hAnsi="Arial" w:cs="Arial"/>
        <w:color w:val="808080" w:themeColor="background1" w:themeShade="80"/>
        <w:sz w:val="18"/>
        <w:szCs w:val="18"/>
      </w:rPr>
      <w:fldChar w:fldCharType="separate"/>
    </w:r>
    <w:r w:rsidRPr="00135CA5">
      <w:rPr>
        <w:rFonts w:ascii="Arial" w:hAnsi="Arial" w:cs="Arial"/>
        <w:noProof/>
        <w:color w:val="808080" w:themeColor="background1" w:themeShade="80"/>
        <w:sz w:val="18"/>
        <w:szCs w:val="18"/>
      </w:rPr>
      <w:t>1</w:t>
    </w:r>
    <w:r w:rsidRPr="00135CA5">
      <w:rPr>
        <w:rFonts w:ascii="Arial" w:hAnsi="Arial" w:cs="Arial"/>
        <w:noProof/>
        <w:color w:val="808080" w:themeColor="background1" w:themeShade="80"/>
        <w:sz w:val="18"/>
        <w:szCs w:val="18"/>
      </w:rPr>
      <w:fldChar w:fldCharType="end"/>
    </w:r>
  </w:p>
  <w:p w14:paraId="71297E75" w14:textId="77777777" w:rsidR="008657D3" w:rsidRDefault="008657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A7ACEB" w14:textId="77777777" w:rsidR="00FF1C2B" w:rsidRDefault="00FF1C2B" w:rsidP="00950EE0">
      <w:r>
        <w:separator/>
      </w:r>
    </w:p>
    <w:p w14:paraId="05A19A2D" w14:textId="77777777" w:rsidR="00FF1C2B" w:rsidRDefault="00FF1C2B"/>
  </w:footnote>
  <w:footnote w:type="continuationSeparator" w:id="0">
    <w:p w14:paraId="75CCD95B" w14:textId="77777777" w:rsidR="00FF1C2B" w:rsidRDefault="00FF1C2B" w:rsidP="00950EE0">
      <w:r>
        <w:continuationSeparator/>
      </w:r>
    </w:p>
    <w:p w14:paraId="4EBB60BC" w14:textId="77777777" w:rsidR="00FF1C2B" w:rsidRDefault="00FF1C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43E08" w14:textId="2E7516DD" w:rsidR="00570A6D" w:rsidRPr="00570A6D" w:rsidRDefault="00570A6D" w:rsidP="00570A6D">
    <w:pPr>
      <w:pStyle w:val="Header"/>
      <w:jc w:val="right"/>
      <w:rPr>
        <w:rFonts w:ascii="Arial" w:hAnsi="Arial" w:cs="Arial"/>
        <w:sz w:val="20"/>
        <w:szCs w:val="20"/>
      </w:rPr>
    </w:pPr>
    <w:r w:rsidRPr="00570A6D">
      <w:rPr>
        <w:rFonts w:ascii="Arial" w:hAnsi="Arial" w:cs="Arial"/>
        <w:sz w:val="20"/>
        <w:szCs w:val="20"/>
      </w:rPr>
      <w:t>E Staff Tasking</w:t>
    </w:r>
  </w:p>
  <w:p w14:paraId="5CFAF3F3" w14:textId="52455883" w:rsidR="00570A6D" w:rsidRPr="00570A6D" w:rsidRDefault="00570A6D" w:rsidP="00570A6D">
    <w:pPr>
      <w:pStyle w:val="Header"/>
      <w:jc w:val="right"/>
      <w:rPr>
        <w:rFonts w:ascii="Arial" w:hAnsi="Arial" w:cs="Arial"/>
        <w:sz w:val="20"/>
        <w:szCs w:val="20"/>
      </w:rPr>
    </w:pPr>
    <w:r w:rsidRPr="00570A6D">
      <w:rPr>
        <w:rFonts w:ascii="Arial" w:hAnsi="Arial" w:cs="Arial"/>
        <w:sz w:val="20"/>
        <w:szCs w:val="20"/>
      </w:rPr>
      <w:t>June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FB57B" w14:textId="2EF9E531" w:rsidR="008657D3" w:rsidRPr="00A0663F" w:rsidRDefault="008657D3" w:rsidP="00A0663F">
    <w:pPr>
      <w:pStyle w:val="Header"/>
    </w:pPr>
    <w:r>
      <w:rPr>
        <w:noProof/>
      </w:rPr>
      <w:drawing>
        <wp:inline distT="0" distB="0" distL="0" distR="0" wp14:anchorId="43DA62DD" wp14:editId="0B0494C5">
          <wp:extent cx="5943600"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NEW.png"/>
                  <pic:cNvPicPr/>
                </pic:nvPicPr>
                <pic:blipFill>
                  <a:blip r:embed="rId1">
                    <a:extLst>
                      <a:ext uri="{28A0092B-C50C-407E-A947-70E740481C1C}">
                        <a14:useLocalDpi xmlns:a14="http://schemas.microsoft.com/office/drawing/2010/main" val="0"/>
                      </a:ext>
                    </a:extLst>
                  </a:blip>
                  <a:stretch>
                    <a:fillRect/>
                  </a:stretch>
                </pic:blipFill>
                <pic:spPr>
                  <a:xfrm>
                    <a:off x="0" y="0"/>
                    <a:ext cx="5943600" cy="914400"/>
                  </a:xfrm>
                  <a:prstGeom prst="rect">
                    <a:avLst/>
                  </a:prstGeom>
                </pic:spPr>
              </pic:pic>
            </a:graphicData>
          </a:graphic>
        </wp:inline>
      </w:drawing>
    </w:r>
  </w:p>
  <w:p w14:paraId="0436982C" w14:textId="77777777" w:rsidR="008657D3" w:rsidRDefault="008657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16A7D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62E7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AA8344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B488D2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2AEF0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FD8DF8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45633E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0F453B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9CA71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C44AB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22BF3"/>
    <w:multiLevelType w:val="hybridMultilevel"/>
    <w:tmpl w:val="930815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A841599"/>
    <w:multiLevelType w:val="hybridMultilevel"/>
    <w:tmpl w:val="9A74E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8A6219"/>
    <w:multiLevelType w:val="hybridMultilevel"/>
    <w:tmpl w:val="486498F0"/>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8331AD3"/>
    <w:multiLevelType w:val="hybridMultilevel"/>
    <w:tmpl w:val="7354E6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24B532D"/>
    <w:multiLevelType w:val="hybridMultilevel"/>
    <w:tmpl w:val="738EA1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4259D1"/>
    <w:multiLevelType w:val="hybridMultilevel"/>
    <w:tmpl w:val="C472E68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A7341F"/>
    <w:multiLevelType w:val="hybridMultilevel"/>
    <w:tmpl w:val="96129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DA52A0"/>
    <w:multiLevelType w:val="hybridMultilevel"/>
    <w:tmpl w:val="07F8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EB5715"/>
    <w:multiLevelType w:val="hybridMultilevel"/>
    <w:tmpl w:val="FDE60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DA1F46"/>
    <w:multiLevelType w:val="hybridMultilevel"/>
    <w:tmpl w:val="0A9C704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3A1F64"/>
    <w:multiLevelType w:val="hybridMultilevel"/>
    <w:tmpl w:val="74E0420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cs="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1F3E61"/>
    <w:multiLevelType w:val="hybridMultilevel"/>
    <w:tmpl w:val="A9D61EF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E97CFC"/>
    <w:multiLevelType w:val="hybridMultilevel"/>
    <w:tmpl w:val="69FA349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6A488A"/>
    <w:multiLevelType w:val="hybridMultilevel"/>
    <w:tmpl w:val="E7FC30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D028BC"/>
    <w:multiLevelType w:val="hybridMultilevel"/>
    <w:tmpl w:val="E11ED7D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3D5151"/>
    <w:multiLevelType w:val="hybridMultilevel"/>
    <w:tmpl w:val="6FB6F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402F52"/>
    <w:multiLevelType w:val="hybridMultilevel"/>
    <w:tmpl w:val="39B66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5D351D"/>
    <w:multiLevelType w:val="hybridMultilevel"/>
    <w:tmpl w:val="A7DAF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C268E4"/>
    <w:multiLevelType w:val="hybridMultilevel"/>
    <w:tmpl w:val="725E116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18589D"/>
    <w:multiLevelType w:val="hybridMultilevel"/>
    <w:tmpl w:val="A4A03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FF31D5"/>
    <w:multiLevelType w:val="hybridMultilevel"/>
    <w:tmpl w:val="0D3C3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876713"/>
    <w:multiLevelType w:val="hybridMultilevel"/>
    <w:tmpl w:val="3BFA3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CF17DB"/>
    <w:multiLevelType w:val="hybridMultilevel"/>
    <w:tmpl w:val="DE46C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1"/>
  </w:num>
  <w:num w:numId="12">
    <w:abstractNumId w:val="11"/>
  </w:num>
  <w:num w:numId="13">
    <w:abstractNumId w:val="30"/>
  </w:num>
  <w:num w:numId="14">
    <w:abstractNumId w:val="32"/>
  </w:num>
  <w:num w:numId="15">
    <w:abstractNumId w:val="16"/>
  </w:num>
  <w:num w:numId="16">
    <w:abstractNumId w:val="18"/>
  </w:num>
  <w:num w:numId="17">
    <w:abstractNumId w:val="26"/>
  </w:num>
  <w:num w:numId="18">
    <w:abstractNumId w:val="10"/>
  </w:num>
  <w:num w:numId="19">
    <w:abstractNumId w:val="13"/>
  </w:num>
  <w:num w:numId="20">
    <w:abstractNumId w:val="23"/>
  </w:num>
  <w:num w:numId="21">
    <w:abstractNumId w:val="25"/>
  </w:num>
  <w:num w:numId="22">
    <w:abstractNumId w:val="14"/>
  </w:num>
  <w:num w:numId="23">
    <w:abstractNumId w:val="24"/>
  </w:num>
  <w:num w:numId="24">
    <w:abstractNumId w:val="12"/>
  </w:num>
  <w:num w:numId="25">
    <w:abstractNumId w:val="22"/>
  </w:num>
  <w:num w:numId="26">
    <w:abstractNumId w:val="19"/>
  </w:num>
  <w:num w:numId="27">
    <w:abstractNumId w:val="28"/>
  </w:num>
  <w:num w:numId="28">
    <w:abstractNumId w:val="20"/>
  </w:num>
  <w:num w:numId="29">
    <w:abstractNumId w:val="21"/>
  </w:num>
  <w:num w:numId="30">
    <w:abstractNumId w:val="15"/>
  </w:num>
  <w:num w:numId="31">
    <w:abstractNumId w:val="29"/>
  </w:num>
  <w:num w:numId="32">
    <w:abstractNumId w:val="27"/>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624" w:allStyles="0" w:customStyles="0" w:latentStyles="1" w:stylesInUse="0" w:headingStyles="1" w:numberingStyles="0" w:tableStyles="0" w:directFormattingOnRuns="0"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c0MDYztzCzsDQ2MjJW0lEKTi0uzszPAykwNK0FAIcsd/8tAAAA"/>
  </w:docVars>
  <w:rsids>
    <w:rsidRoot w:val="007E476D"/>
    <w:rsid w:val="00003786"/>
    <w:rsid w:val="0004310A"/>
    <w:rsid w:val="000672F4"/>
    <w:rsid w:val="000A2AA2"/>
    <w:rsid w:val="000A32BE"/>
    <w:rsid w:val="000B1670"/>
    <w:rsid w:val="000C3A6A"/>
    <w:rsid w:val="000C606B"/>
    <w:rsid w:val="000E1AF6"/>
    <w:rsid w:val="001166F3"/>
    <w:rsid w:val="001224E8"/>
    <w:rsid w:val="00124BE5"/>
    <w:rsid w:val="00126ACA"/>
    <w:rsid w:val="00135CA5"/>
    <w:rsid w:val="00150E36"/>
    <w:rsid w:val="00153470"/>
    <w:rsid w:val="00174BC9"/>
    <w:rsid w:val="0018118E"/>
    <w:rsid w:val="0018246A"/>
    <w:rsid w:val="00183002"/>
    <w:rsid w:val="00192B72"/>
    <w:rsid w:val="001A7B87"/>
    <w:rsid w:val="001C464A"/>
    <w:rsid w:val="001C6319"/>
    <w:rsid w:val="001D5129"/>
    <w:rsid w:val="001E0DC5"/>
    <w:rsid w:val="001F742A"/>
    <w:rsid w:val="001F7ECF"/>
    <w:rsid w:val="00216AE6"/>
    <w:rsid w:val="0023001A"/>
    <w:rsid w:val="0023126D"/>
    <w:rsid w:val="00233F4F"/>
    <w:rsid w:val="00237482"/>
    <w:rsid w:val="00237B86"/>
    <w:rsid w:val="00240E52"/>
    <w:rsid w:val="00242752"/>
    <w:rsid w:val="00245BCB"/>
    <w:rsid w:val="00252398"/>
    <w:rsid w:val="00266EEF"/>
    <w:rsid w:val="002812A2"/>
    <w:rsid w:val="002A52BD"/>
    <w:rsid w:val="002B1A23"/>
    <w:rsid w:val="002B75EE"/>
    <w:rsid w:val="002B7FD1"/>
    <w:rsid w:val="002C5A02"/>
    <w:rsid w:val="0033377D"/>
    <w:rsid w:val="00344B13"/>
    <w:rsid w:val="00352E27"/>
    <w:rsid w:val="00394A22"/>
    <w:rsid w:val="00395335"/>
    <w:rsid w:val="00395C4A"/>
    <w:rsid w:val="003A0A46"/>
    <w:rsid w:val="003A23EC"/>
    <w:rsid w:val="003B455E"/>
    <w:rsid w:val="00400B5C"/>
    <w:rsid w:val="00406DB6"/>
    <w:rsid w:val="00460244"/>
    <w:rsid w:val="00481295"/>
    <w:rsid w:val="0049042C"/>
    <w:rsid w:val="00497BF7"/>
    <w:rsid w:val="004A067D"/>
    <w:rsid w:val="004A2CBC"/>
    <w:rsid w:val="004A3FDC"/>
    <w:rsid w:val="004C2ADC"/>
    <w:rsid w:val="004E3102"/>
    <w:rsid w:val="004E499B"/>
    <w:rsid w:val="004F3245"/>
    <w:rsid w:val="004F65C3"/>
    <w:rsid w:val="00533A44"/>
    <w:rsid w:val="00533C3D"/>
    <w:rsid w:val="00536442"/>
    <w:rsid w:val="00555918"/>
    <w:rsid w:val="0056166B"/>
    <w:rsid w:val="00562C77"/>
    <w:rsid w:val="00565310"/>
    <w:rsid w:val="005655B7"/>
    <w:rsid w:val="0057098D"/>
    <w:rsid w:val="00570A6D"/>
    <w:rsid w:val="0057168F"/>
    <w:rsid w:val="005E45BE"/>
    <w:rsid w:val="005F5F87"/>
    <w:rsid w:val="005F767C"/>
    <w:rsid w:val="00612DBF"/>
    <w:rsid w:val="006214EA"/>
    <w:rsid w:val="00644F7B"/>
    <w:rsid w:val="006460F0"/>
    <w:rsid w:val="00691A8F"/>
    <w:rsid w:val="006947AE"/>
    <w:rsid w:val="006B2F2C"/>
    <w:rsid w:val="006D054A"/>
    <w:rsid w:val="006D2C4E"/>
    <w:rsid w:val="006D799B"/>
    <w:rsid w:val="006F0FE2"/>
    <w:rsid w:val="00731BE4"/>
    <w:rsid w:val="00746F81"/>
    <w:rsid w:val="00755B6D"/>
    <w:rsid w:val="0076616C"/>
    <w:rsid w:val="007728E9"/>
    <w:rsid w:val="007A142A"/>
    <w:rsid w:val="007C783F"/>
    <w:rsid w:val="007C7D4D"/>
    <w:rsid w:val="007D20B0"/>
    <w:rsid w:val="007D3DF6"/>
    <w:rsid w:val="007E476D"/>
    <w:rsid w:val="007E6A3F"/>
    <w:rsid w:val="007F693E"/>
    <w:rsid w:val="007F75BB"/>
    <w:rsid w:val="00806D78"/>
    <w:rsid w:val="0081358C"/>
    <w:rsid w:val="0081465D"/>
    <w:rsid w:val="00856EC7"/>
    <w:rsid w:val="00863E20"/>
    <w:rsid w:val="008657D3"/>
    <w:rsid w:val="008726B0"/>
    <w:rsid w:val="00874D0D"/>
    <w:rsid w:val="008872F3"/>
    <w:rsid w:val="00891562"/>
    <w:rsid w:val="00893815"/>
    <w:rsid w:val="008C5D2A"/>
    <w:rsid w:val="008D0F71"/>
    <w:rsid w:val="008E3BD5"/>
    <w:rsid w:val="008F2D10"/>
    <w:rsid w:val="008F5474"/>
    <w:rsid w:val="008F5FA6"/>
    <w:rsid w:val="0091150F"/>
    <w:rsid w:val="00940DF1"/>
    <w:rsid w:val="00941EC9"/>
    <w:rsid w:val="009428BE"/>
    <w:rsid w:val="00950EE0"/>
    <w:rsid w:val="0096374D"/>
    <w:rsid w:val="00971A46"/>
    <w:rsid w:val="00992574"/>
    <w:rsid w:val="009959EB"/>
    <w:rsid w:val="009B4DDB"/>
    <w:rsid w:val="009C73E5"/>
    <w:rsid w:val="009D76A4"/>
    <w:rsid w:val="009D7925"/>
    <w:rsid w:val="00A0663F"/>
    <w:rsid w:val="00A17C89"/>
    <w:rsid w:val="00A233B5"/>
    <w:rsid w:val="00A43F6C"/>
    <w:rsid w:val="00A8578D"/>
    <w:rsid w:val="00A93497"/>
    <w:rsid w:val="00A96E32"/>
    <w:rsid w:val="00AC719B"/>
    <w:rsid w:val="00AC7B7A"/>
    <w:rsid w:val="00AD0F73"/>
    <w:rsid w:val="00AE3D06"/>
    <w:rsid w:val="00AF7C37"/>
    <w:rsid w:val="00B004CA"/>
    <w:rsid w:val="00B056C4"/>
    <w:rsid w:val="00B13BCF"/>
    <w:rsid w:val="00B13EA3"/>
    <w:rsid w:val="00B1461F"/>
    <w:rsid w:val="00B3576C"/>
    <w:rsid w:val="00B359E7"/>
    <w:rsid w:val="00B4117C"/>
    <w:rsid w:val="00B63E4F"/>
    <w:rsid w:val="00B664AD"/>
    <w:rsid w:val="00B70B1D"/>
    <w:rsid w:val="00B77467"/>
    <w:rsid w:val="00B776F5"/>
    <w:rsid w:val="00B84E63"/>
    <w:rsid w:val="00B876C1"/>
    <w:rsid w:val="00B87730"/>
    <w:rsid w:val="00B90F0F"/>
    <w:rsid w:val="00B93580"/>
    <w:rsid w:val="00B9793E"/>
    <w:rsid w:val="00BA07C3"/>
    <w:rsid w:val="00BA2E03"/>
    <w:rsid w:val="00BA448B"/>
    <w:rsid w:val="00BA6ABC"/>
    <w:rsid w:val="00C014B4"/>
    <w:rsid w:val="00C04A2B"/>
    <w:rsid w:val="00C43E8F"/>
    <w:rsid w:val="00C534BA"/>
    <w:rsid w:val="00C633C0"/>
    <w:rsid w:val="00C677A6"/>
    <w:rsid w:val="00C902FE"/>
    <w:rsid w:val="00C929F5"/>
    <w:rsid w:val="00C94E39"/>
    <w:rsid w:val="00CA0A1D"/>
    <w:rsid w:val="00CE1B83"/>
    <w:rsid w:val="00CE2969"/>
    <w:rsid w:val="00D012F8"/>
    <w:rsid w:val="00D11CE7"/>
    <w:rsid w:val="00D1319C"/>
    <w:rsid w:val="00D16406"/>
    <w:rsid w:val="00D21B3B"/>
    <w:rsid w:val="00D2314C"/>
    <w:rsid w:val="00D24316"/>
    <w:rsid w:val="00D259CC"/>
    <w:rsid w:val="00D353A1"/>
    <w:rsid w:val="00D509C6"/>
    <w:rsid w:val="00D523E8"/>
    <w:rsid w:val="00D5365D"/>
    <w:rsid w:val="00D64F70"/>
    <w:rsid w:val="00D67AB2"/>
    <w:rsid w:val="00D726F9"/>
    <w:rsid w:val="00D753BD"/>
    <w:rsid w:val="00D83543"/>
    <w:rsid w:val="00D93DC7"/>
    <w:rsid w:val="00DA35F0"/>
    <w:rsid w:val="00DA67C4"/>
    <w:rsid w:val="00DB7D77"/>
    <w:rsid w:val="00DC029A"/>
    <w:rsid w:val="00DC1A5A"/>
    <w:rsid w:val="00DD5CE0"/>
    <w:rsid w:val="00DD6523"/>
    <w:rsid w:val="00E0338B"/>
    <w:rsid w:val="00E074D9"/>
    <w:rsid w:val="00E12D9C"/>
    <w:rsid w:val="00E220B7"/>
    <w:rsid w:val="00E26F59"/>
    <w:rsid w:val="00E51EDE"/>
    <w:rsid w:val="00E52071"/>
    <w:rsid w:val="00E67D77"/>
    <w:rsid w:val="00E72EE3"/>
    <w:rsid w:val="00E84A98"/>
    <w:rsid w:val="00E925AB"/>
    <w:rsid w:val="00E9746E"/>
    <w:rsid w:val="00ED251B"/>
    <w:rsid w:val="00ED60DA"/>
    <w:rsid w:val="00EE5A70"/>
    <w:rsid w:val="00EE5FC2"/>
    <w:rsid w:val="00F20E8C"/>
    <w:rsid w:val="00F275C2"/>
    <w:rsid w:val="00F32AFF"/>
    <w:rsid w:val="00F43A8F"/>
    <w:rsid w:val="00F52BCD"/>
    <w:rsid w:val="00F579EC"/>
    <w:rsid w:val="00F6018F"/>
    <w:rsid w:val="00F61B29"/>
    <w:rsid w:val="00F71A2F"/>
    <w:rsid w:val="00F8283B"/>
    <w:rsid w:val="00F870DE"/>
    <w:rsid w:val="00FA1B68"/>
    <w:rsid w:val="00FB68A7"/>
    <w:rsid w:val="00FD2173"/>
    <w:rsid w:val="00FE192D"/>
    <w:rsid w:val="00FE2301"/>
    <w:rsid w:val="00FF1C2B"/>
    <w:rsid w:val="00FF2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B552BE"/>
  <w15:chartTrackingRefBased/>
  <w15:docId w15:val="{B871018B-56C4-4E23-BB0F-53C17DB2D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BCD"/>
    <w:rPr>
      <w:rFonts w:ascii="Times New Roman" w:hAnsi="Times New Roman" w:cs="Times New Roman"/>
    </w:rPr>
  </w:style>
  <w:style w:type="paragraph" w:styleId="Heading1">
    <w:name w:val="heading 1"/>
    <w:basedOn w:val="Normal"/>
    <w:next w:val="Normal"/>
    <w:link w:val="Heading1Char"/>
    <w:uiPriority w:val="9"/>
    <w:qFormat/>
    <w:rsid w:val="00555918"/>
    <w:pPr>
      <w:keepNext/>
      <w:keepLines/>
      <w:spacing w:before="240" w:after="120"/>
      <w:outlineLvl w:val="0"/>
    </w:pPr>
    <w:rPr>
      <w:rFonts w:asciiTheme="minorHAnsi" w:eastAsiaTheme="majorEastAsia" w:hAnsiTheme="minorHAnsi" w:cstheme="minorHAnsi"/>
      <w:b/>
      <w:sz w:val="28"/>
      <w:szCs w:val="28"/>
    </w:rPr>
  </w:style>
  <w:style w:type="paragraph" w:styleId="Heading2">
    <w:name w:val="heading 2"/>
    <w:basedOn w:val="Normal"/>
    <w:next w:val="Normal"/>
    <w:link w:val="Heading2Char"/>
    <w:uiPriority w:val="9"/>
    <w:unhideWhenUsed/>
    <w:qFormat/>
    <w:rsid w:val="00992574"/>
    <w:pPr>
      <w:keepNext/>
      <w:spacing w:before="240" w:after="120"/>
      <w:outlineLvl w:val="1"/>
    </w:pPr>
    <w:rPr>
      <w:rFonts w:ascii="Arial" w:hAnsi="Arial" w:cs="Arial"/>
      <w:b/>
      <w:i/>
      <w:szCs w:val="24"/>
    </w:rPr>
  </w:style>
  <w:style w:type="paragraph" w:styleId="Heading3">
    <w:name w:val="heading 3"/>
    <w:basedOn w:val="Normal"/>
    <w:next w:val="Normal"/>
    <w:link w:val="Heading3Char"/>
    <w:uiPriority w:val="9"/>
    <w:unhideWhenUsed/>
    <w:qFormat/>
    <w:rsid w:val="00A233B5"/>
    <w:pPr>
      <w:keepNext/>
      <w:spacing w:before="240" w:after="120"/>
      <w:outlineLvl w:val="2"/>
    </w:pPr>
    <w:rPr>
      <w:rFonts w:asciiTheme="majorHAnsi" w:eastAsiaTheme="majorEastAsia" w:hAnsiTheme="majorHAnsi" w:cstheme="majorBidi"/>
      <w:u w:val="single"/>
    </w:rPr>
  </w:style>
  <w:style w:type="paragraph" w:styleId="Heading4">
    <w:name w:val="heading 4"/>
    <w:basedOn w:val="Normal"/>
    <w:next w:val="Normal"/>
    <w:link w:val="Heading4Char"/>
    <w:uiPriority w:val="9"/>
    <w:unhideWhenUsed/>
    <w:qFormat/>
    <w:rsid w:val="00F52BCD"/>
    <w:pPr>
      <w:keepNext/>
      <w:spacing w:after="6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unhideWhenUsed/>
    <w:rsid w:val="00F52BC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918"/>
    <w:rPr>
      <w:rFonts w:eastAsiaTheme="majorEastAsia" w:cstheme="minorHAnsi"/>
      <w:b/>
      <w:sz w:val="28"/>
      <w:szCs w:val="28"/>
    </w:rPr>
  </w:style>
  <w:style w:type="paragraph" w:styleId="NoSpacing">
    <w:name w:val="No Spacing"/>
    <w:basedOn w:val="Normal"/>
    <w:uiPriority w:val="1"/>
    <w:qFormat/>
    <w:rsid w:val="00F52BCD"/>
  </w:style>
  <w:style w:type="character" w:customStyle="1" w:styleId="Heading2Char">
    <w:name w:val="Heading 2 Char"/>
    <w:basedOn w:val="DefaultParagraphFont"/>
    <w:link w:val="Heading2"/>
    <w:uiPriority w:val="9"/>
    <w:rsid w:val="00992574"/>
    <w:rPr>
      <w:rFonts w:ascii="Arial" w:hAnsi="Arial" w:cs="Arial"/>
      <w:b/>
      <w:i/>
      <w:szCs w:val="24"/>
    </w:rPr>
  </w:style>
  <w:style w:type="character" w:customStyle="1" w:styleId="Heading3Char">
    <w:name w:val="Heading 3 Char"/>
    <w:basedOn w:val="DefaultParagraphFont"/>
    <w:link w:val="Heading3"/>
    <w:uiPriority w:val="9"/>
    <w:rsid w:val="00A233B5"/>
    <w:rPr>
      <w:rFonts w:asciiTheme="majorHAnsi" w:eastAsiaTheme="majorEastAsia" w:hAnsiTheme="majorHAnsi" w:cstheme="majorBidi"/>
      <w:u w:val="single"/>
    </w:rPr>
  </w:style>
  <w:style w:type="character" w:customStyle="1" w:styleId="Heading4Char">
    <w:name w:val="Heading 4 Char"/>
    <w:basedOn w:val="DefaultParagraphFont"/>
    <w:link w:val="Heading4"/>
    <w:uiPriority w:val="9"/>
    <w:rsid w:val="00F52BCD"/>
    <w:rPr>
      <w:rFonts w:asciiTheme="majorHAnsi" w:eastAsiaTheme="majorEastAsia" w:hAnsiTheme="majorHAnsi" w:cstheme="majorBidi"/>
      <w:i/>
      <w:iCs/>
    </w:rPr>
  </w:style>
  <w:style w:type="character" w:customStyle="1" w:styleId="Heading5Char">
    <w:name w:val="Heading 5 Char"/>
    <w:basedOn w:val="DefaultParagraphFont"/>
    <w:link w:val="Heading5"/>
    <w:uiPriority w:val="9"/>
    <w:rsid w:val="00F52BCD"/>
    <w:rPr>
      <w:rFonts w:asciiTheme="majorHAnsi" w:eastAsiaTheme="majorEastAsia" w:hAnsiTheme="majorHAnsi" w:cstheme="majorBidi"/>
      <w:color w:val="2F5496" w:themeColor="accent1" w:themeShade="BF"/>
    </w:rPr>
  </w:style>
  <w:style w:type="paragraph" w:styleId="Header">
    <w:name w:val="header"/>
    <w:basedOn w:val="Normal"/>
    <w:link w:val="HeaderChar"/>
    <w:uiPriority w:val="99"/>
    <w:unhideWhenUsed/>
    <w:rsid w:val="00F52BCD"/>
    <w:pPr>
      <w:tabs>
        <w:tab w:val="center" w:pos="4680"/>
        <w:tab w:val="right" w:pos="9360"/>
      </w:tabs>
    </w:pPr>
  </w:style>
  <w:style w:type="character" w:customStyle="1" w:styleId="HeaderChar">
    <w:name w:val="Header Char"/>
    <w:basedOn w:val="DefaultParagraphFont"/>
    <w:link w:val="Header"/>
    <w:uiPriority w:val="99"/>
    <w:rsid w:val="00F52BCD"/>
    <w:rPr>
      <w:rFonts w:ascii="Times New Roman" w:hAnsi="Times New Roman" w:cs="Times New Roman"/>
    </w:rPr>
  </w:style>
  <w:style w:type="paragraph" w:styleId="Footer">
    <w:name w:val="footer"/>
    <w:basedOn w:val="Normal"/>
    <w:link w:val="FooterChar"/>
    <w:uiPriority w:val="99"/>
    <w:unhideWhenUsed/>
    <w:rsid w:val="00F52BCD"/>
    <w:pPr>
      <w:tabs>
        <w:tab w:val="center" w:pos="4680"/>
        <w:tab w:val="right" w:pos="9360"/>
      </w:tabs>
    </w:pPr>
  </w:style>
  <w:style w:type="character" w:customStyle="1" w:styleId="FooterChar">
    <w:name w:val="Footer Char"/>
    <w:basedOn w:val="DefaultParagraphFont"/>
    <w:link w:val="Footer"/>
    <w:uiPriority w:val="99"/>
    <w:rsid w:val="00F52BCD"/>
    <w:rPr>
      <w:rFonts w:ascii="Times New Roman" w:hAnsi="Times New Roman" w:cs="Times New Roman"/>
    </w:rPr>
  </w:style>
  <w:style w:type="paragraph" w:styleId="Caption">
    <w:name w:val="caption"/>
    <w:basedOn w:val="Normal"/>
    <w:next w:val="Normal"/>
    <w:uiPriority w:val="35"/>
    <w:unhideWhenUsed/>
    <w:qFormat/>
    <w:rsid w:val="00F52BCD"/>
    <w:pPr>
      <w:spacing w:after="200"/>
    </w:pPr>
    <w:rPr>
      <w:i/>
      <w:iCs/>
      <w:color w:val="44546A" w:themeColor="text2"/>
      <w:sz w:val="18"/>
      <w:szCs w:val="18"/>
    </w:rPr>
  </w:style>
  <w:style w:type="paragraph" w:styleId="Title">
    <w:name w:val="Title"/>
    <w:basedOn w:val="Normal"/>
    <w:next w:val="Normal"/>
    <w:link w:val="TitleChar"/>
    <w:uiPriority w:val="10"/>
    <w:qFormat/>
    <w:rsid w:val="004C2ADC"/>
    <w:pPr>
      <w:spacing w:before="60"/>
      <w:jc w:val="center"/>
    </w:pPr>
    <w:rPr>
      <w:rFonts w:ascii="Arial" w:hAnsi="Arial" w:cs="Arial"/>
      <w:b/>
      <w:sz w:val="40"/>
      <w:szCs w:val="40"/>
    </w:rPr>
  </w:style>
  <w:style w:type="character" w:customStyle="1" w:styleId="TitleChar">
    <w:name w:val="Title Char"/>
    <w:basedOn w:val="DefaultParagraphFont"/>
    <w:link w:val="Title"/>
    <w:uiPriority w:val="10"/>
    <w:rsid w:val="004C2ADC"/>
    <w:rPr>
      <w:rFonts w:ascii="Arial" w:hAnsi="Arial" w:cs="Arial"/>
      <w:b/>
      <w:sz w:val="40"/>
      <w:szCs w:val="40"/>
    </w:rPr>
  </w:style>
  <w:style w:type="paragraph" w:styleId="ListParagraph">
    <w:name w:val="List Paragraph"/>
    <w:basedOn w:val="Normal"/>
    <w:uiPriority w:val="34"/>
    <w:qFormat/>
    <w:rsid w:val="00F52BCD"/>
    <w:pPr>
      <w:ind w:left="720"/>
      <w:contextualSpacing/>
    </w:pPr>
  </w:style>
  <w:style w:type="paragraph" w:styleId="BlockText">
    <w:name w:val="Block Text"/>
    <w:basedOn w:val="Normal"/>
    <w:uiPriority w:val="99"/>
    <w:unhideWhenUsed/>
    <w:rsid w:val="00971A4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unhideWhenUsed/>
    <w:qFormat/>
    <w:rsid w:val="00971A46"/>
    <w:pPr>
      <w:spacing w:after="120"/>
    </w:pPr>
  </w:style>
  <w:style w:type="character" w:customStyle="1" w:styleId="BodyTextChar">
    <w:name w:val="Body Text Char"/>
    <w:basedOn w:val="DefaultParagraphFont"/>
    <w:link w:val="BodyText"/>
    <w:uiPriority w:val="99"/>
    <w:rsid w:val="00971A46"/>
    <w:rPr>
      <w:rFonts w:ascii="Times New Roman" w:hAnsi="Times New Roman" w:cs="Times New Roman"/>
    </w:rPr>
  </w:style>
  <w:style w:type="character" w:styleId="Hyperlink">
    <w:name w:val="Hyperlink"/>
    <w:basedOn w:val="DefaultParagraphFont"/>
    <w:uiPriority w:val="99"/>
    <w:unhideWhenUsed/>
    <w:rsid w:val="00B90F0F"/>
    <w:rPr>
      <w:color w:val="0563C1" w:themeColor="hyperlink"/>
      <w:u w:val="single"/>
    </w:rPr>
  </w:style>
  <w:style w:type="character" w:styleId="UnresolvedMention">
    <w:name w:val="Unresolved Mention"/>
    <w:basedOn w:val="DefaultParagraphFont"/>
    <w:uiPriority w:val="99"/>
    <w:semiHidden/>
    <w:unhideWhenUsed/>
    <w:rsid w:val="00B90F0F"/>
    <w:rPr>
      <w:color w:val="605E5C"/>
      <w:shd w:val="clear" w:color="auto" w:fill="E1DFDD"/>
    </w:rPr>
  </w:style>
  <w:style w:type="paragraph" w:styleId="BalloonText">
    <w:name w:val="Balloon Text"/>
    <w:basedOn w:val="Normal"/>
    <w:link w:val="BalloonTextChar"/>
    <w:uiPriority w:val="99"/>
    <w:semiHidden/>
    <w:unhideWhenUsed/>
    <w:rsid w:val="002427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752"/>
    <w:rPr>
      <w:rFonts w:ascii="Segoe UI" w:hAnsi="Segoe UI" w:cs="Segoe UI"/>
      <w:sz w:val="18"/>
      <w:szCs w:val="18"/>
    </w:rPr>
  </w:style>
  <w:style w:type="character" w:styleId="Strong">
    <w:name w:val="Strong"/>
    <w:basedOn w:val="DefaultParagraphFont"/>
    <w:uiPriority w:val="22"/>
    <w:qFormat/>
    <w:rsid w:val="00806D78"/>
    <w:rPr>
      <w:b/>
      <w:bCs/>
    </w:rPr>
  </w:style>
  <w:style w:type="paragraph" w:styleId="NormalWeb">
    <w:name w:val="Normal (Web)"/>
    <w:basedOn w:val="Normal"/>
    <w:uiPriority w:val="99"/>
    <w:semiHidden/>
    <w:unhideWhenUsed/>
    <w:rsid w:val="00A233B5"/>
    <w:pPr>
      <w:spacing w:before="100" w:beforeAutospacing="1" w:after="100" w:afterAutospacing="1"/>
    </w:pPr>
    <w:rPr>
      <w:rFonts w:eastAsia="Times New Roman"/>
      <w:sz w:val="24"/>
      <w:szCs w:val="24"/>
    </w:rPr>
  </w:style>
  <w:style w:type="table" w:styleId="TableGrid">
    <w:name w:val="Table Grid"/>
    <w:basedOn w:val="TableNormal"/>
    <w:uiPriority w:val="59"/>
    <w:rsid w:val="00266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657D3"/>
    <w:rPr>
      <w:sz w:val="16"/>
      <w:szCs w:val="16"/>
    </w:rPr>
  </w:style>
  <w:style w:type="paragraph" w:styleId="CommentText">
    <w:name w:val="annotation text"/>
    <w:basedOn w:val="Normal"/>
    <w:link w:val="CommentTextChar"/>
    <w:uiPriority w:val="99"/>
    <w:semiHidden/>
    <w:unhideWhenUsed/>
    <w:rsid w:val="008657D3"/>
    <w:rPr>
      <w:sz w:val="20"/>
      <w:szCs w:val="20"/>
    </w:rPr>
  </w:style>
  <w:style w:type="character" w:customStyle="1" w:styleId="CommentTextChar">
    <w:name w:val="Comment Text Char"/>
    <w:basedOn w:val="DefaultParagraphFont"/>
    <w:link w:val="CommentText"/>
    <w:uiPriority w:val="99"/>
    <w:semiHidden/>
    <w:rsid w:val="008657D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657D3"/>
    <w:rPr>
      <w:b/>
      <w:bCs/>
    </w:rPr>
  </w:style>
  <w:style w:type="character" w:customStyle="1" w:styleId="CommentSubjectChar">
    <w:name w:val="Comment Subject Char"/>
    <w:basedOn w:val="CommentTextChar"/>
    <w:link w:val="CommentSubject"/>
    <w:uiPriority w:val="99"/>
    <w:semiHidden/>
    <w:rsid w:val="008657D3"/>
    <w:rPr>
      <w:rFonts w:ascii="Times New Roman" w:hAnsi="Times New Roman" w:cs="Times New Roman"/>
      <w:b/>
      <w:bCs/>
      <w:sz w:val="20"/>
      <w:szCs w:val="20"/>
    </w:rPr>
  </w:style>
  <w:style w:type="table" w:styleId="GridTable4-Accent5">
    <w:name w:val="Grid Table 4 Accent 5"/>
    <w:basedOn w:val="TableNormal"/>
    <w:uiPriority w:val="49"/>
    <w:rsid w:val="00D726F9"/>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5Dark-Accent5">
    <w:name w:val="Grid Table 5 Dark Accent 5"/>
    <w:basedOn w:val="TableNormal"/>
    <w:uiPriority w:val="50"/>
    <w:rsid w:val="00D726F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ListTable7Colorful-Accent5">
    <w:name w:val="List Table 7 Colorful Accent 5"/>
    <w:basedOn w:val="TableNormal"/>
    <w:uiPriority w:val="52"/>
    <w:rsid w:val="00D726F9"/>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850907">
      <w:bodyDiv w:val="1"/>
      <w:marLeft w:val="0"/>
      <w:marRight w:val="0"/>
      <w:marTop w:val="0"/>
      <w:marBottom w:val="0"/>
      <w:divBdr>
        <w:top w:val="none" w:sz="0" w:space="0" w:color="auto"/>
        <w:left w:val="none" w:sz="0" w:space="0" w:color="auto"/>
        <w:bottom w:val="none" w:sz="0" w:space="0" w:color="auto"/>
        <w:right w:val="none" w:sz="0" w:space="0" w:color="auto"/>
      </w:divBdr>
      <w:divsChild>
        <w:div w:id="965038806">
          <w:marLeft w:val="0"/>
          <w:marRight w:val="0"/>
          <w:marTop w:val="0"/>
          <w:marBottom w:val="0"/>
          <w:divBdr>
            <w:top w:val="none" w:sz="0" w:space="0" w:color="auto"/>
            <w:left w:val="none" w:sz="0" w:space="0" w:color="auto"/>
            <w:bottom w:val="none" w:sz="0" w:space="0" w:color="auto"/>
            <w:right w:val="none" w:sz="0" w:space="0" w:color="auto"/>
          </w:divBdr>
          <w:divsChild>
            <w:div w:id="438254565">
              <w:marLeft w:val="0"/>
              <w:marRight w:val="0"/>
              <w:marTop w:val="0"/>
              <w:marBottom w:val="0"/>
              <w:divBdr>
                <w:top w:val="none" w:sz="0" w:space="0" w:color="auto"/>
                <w:left w:val="none" w:sz="0" w:space="0" w:color="auto"/>
                <w:bottom w:val="none" w:sz="0" w:space="0" w:color="auto"/>
                <w:right w:val="none" w:sz="0" w:space="0" w:color="auto"/>
              </w:divBdr>
            </w:div>
            <w:div w:id="1708946594">
              <w:marLeft w:val="0"/>
              <w:marRight w:val="0"/>
              <w:marTop w:val="0"/>
              <w:marBottom w:val="0"/>
              <w:divBdr>
                <w:top w:val="none" w:sz="0" w:space="0" w:color="auto"/>
                <w:left w:val="none" w:sz="0" w:space="0" w:color="auto"/>
                <w:bottom w:val="none" w:sz="0" w:space="0" w:color="auto"/>
                <w:right w:val="none" w:sz="0" w:space="0" w:color="auto"/>
              </w:divBdr>
            </w:div>
            <w:div w:id="609515083">
              <w:marLeft w:val="0"/>
              <w:marRight w:val="0"/>
              <w:marTop w:val="0"/>
              <w:marBottom w:val="0"/>
              <w:divBdr>
                <w:top w:val="none" w:sz="0" w:space="0" w:color="auto"/>
                <w:left w:val="none" w:sz="0" w:space="0" w:color="auto"/>
                <w:bottom w:val="none" w:sz="0" w:space="0" w:color="auto"/>
                <w:right w:val="none" w:sz="0" w:space="0" w:color="auto"/>
              </w:divBdr>
            </w:div>
            <w:div w:id="922569200">
              <w:marLeft w:val="0"/>
              <w:marRight w:val="0"/>
              <w:marTop w:val="0"/>
              <w:marBottom w:val="0"/>
              <w:divBdr>
                <w:top w:val="none" w:sz="0" w:space="0" w:color="auto"/>
                <w:left w:val="none" w:sz="0" w:space="0" w:color="auto"/>
                <w:bottom w:val="none" w:sz="0" w:space="0" w:color="auto"/>
                <w:right w:val="none" w:sz="0" w:space="0" w:color="auto"/>
              </w:divBdr>
            </w:div>
            <w:div w:id="701129729">
              <w:marLeft w:val="0"/>
              <w:marRight w:val="0"/>
              <w:marTop w:val="0"/>
              <w:marBottom w:val="0"/>
              <w:divBdr>
                <w:top w:val="none" w:sz="0" w:space="0" w:color="auto"/>
                <w:left w:val="none" w:sz="0" w:space="0" w:color="auto"/>
                <w:bottom w:val="none" w:sz="0" w:space="0" w:color="auto"/>
                <w:right w:val="none" w:sz="0" w:space="0" w:color="auto"/>
              </w:divBdr>
            </w:div>
            <w:div w:id="430512095">
              <w:marLeft w:val="0"/>
              <w:marRight w:val="0"/>
              <w:marTop w:val="0"/>
              <w:marBottom w:val="0"/>
              <w:divBdr>
                <w:top w:val="none" w:sz="0" w:space="0" w:color="auto"/>
                <w:left w:val="none" w:sz="0" w:space="0" w:color="auto"/>
                <w:bottom w:val="none" w:sz="0" w:space="0" w:color="auto"/>
                <w:right w:val="none" w:sz="0" w:space="0" w:color="auto"/>
              </w:divBdr>
            </w:div>
            <w:div w:id="1571767639">
              <w:marLeft w:val="0"/>
              <w:marRight w:val="0"/>
              <w:marTop w:val="0"/>
              <w:marBottom w:val="0"/>
              <w:divBdr>
                <w:top w:val="none" w:sz="0" w:space="0" w:color="auto"/>
                <w:left w:val="none" w:sz="0" w:space="0" w:color="auto"/>
                <w:bottom w:val="none" w:sz="0" w:space="0" w:color="auto"/>
                <w:right w:val="none" w:sz="0" w:space="0" w:color="auto"/>
              </w:divBdr>
            </w:div>
            <w:div w:id="859661318">
              <w:marLeft w:val="0"/>
              <w:marRight w:val="0"/>
              <w:marTop w:val="0"/>
              <w:marBottom w:val="0"/>
              <w:divBdr>
                <w:top w:val="none" w:sz="0" w:space="0" w:color="auto"/>
                <w:left w:val="none" w:sz="0" w:space="0" w:color="auto"/>
                <w:bottom w:val="none" w:sz="0" w:space="0" w:color="auto"/>
                <w:right w:val="none" w:sz="0" w:space="0" w:color="auto"/>
              </w:divBdr>
            </w:div>
            <w:div w:id="1775897944">
              <w:marLeft w:val="0"/>
              <w:marRight w:val="0"/>
              <w:marTop w:val="0"/>
              <w:marBottom w:val="0"/>
              <w:divBdr>
                <w:top w:val="none" w:sz="0" w:space="0" w:color="auto"/>
                <w:left w:val="none" w:sz="0" w:space="0" w:color="auto"/>
                <w:bottom w:val="none" w:sz="0" w:space="0" w:color="auto"/>
                <w:right w:val="none" w:sz="0" w:space="0" w:color="auto"/>
              </w:divBdr>
            </w:div>
            <w:div w:id="1683630116">
              <w:marLeft w:val="0"/>
              <w:marRight w:val="0"/>
              <w:marTop w:val="0"/>
              <w:marBottom w:val="0"/>
              <w:divBdr>
                <w:top w:val="none" w:sz="0" w:space="0" w:color="auto"/>
                <w:left w:val="none" w:sz="0" w:space="0" w:color="auto"/>
                <w:bottom w:val="none" w:sz="0" w:space="0" w:color="auto"/>
                <w:right w:val="none" w:sz="0" w:space="0" w:color="auto"/>
              </w:divBdr>
            </w:div>
            <w:div w:id="81492329">
              <w:marLeft w:val="0"/>
              <w:marRight w:val="0"/>
              <w:marTop w:val="0"/>
              <w:marBottom w:val="0"/>
              <w:divBdr>
                <w:top w:val="none" w:sz="0" w:space="0" w:color="auto"/>
                <w:left w:val="none" w:sz="0" w:space="0" w:color="auto"/>
                <w:bottom w:val="none" w:sz="0" w:space="0" w:color="auto"/>
                <w:right w:val="none" w:sz="0" w:space="0" w:color="auto"/>
              </w:divBdr>
            </w:div>
            <w:div w:id="128222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932305">
      <w:bodyDiv w:val="1"/>
      <w:marLeft w:val="0"/>
      <w:marRight w:val="0"/>
      <w:marTop w:val="0"/>
      <w:marBottom w:val="0"/>
      <w:divBdr>
        <w:top w:val="none" w:sz="0" w:space="0" w:color="auto"/>
        <w:left w:val="none" w:sz="0" w:space="0" w:color="auto"/>
        <w:bottom w:val="none" w:sz="0" w:space="0" w:color="auto"/>
        <w:right w:val="none" w:sz="0" w:space="0" w:color="auto"/>
      </w:divBdr>
      <w:divsChild>
        <w:div w:id="1996913760">
          <w:marLeft w:val="0"/>
          <w:marRight w:val="0"/>
          <w:marTop w:val="0"/>
          <w:marBottom w:val="0"/>
          <w:divBdr>
            <w:top w:val="none" w:sz="0" w:space="0" w:color="auto"/>
            <w:left w:val="none" w:sz="0" w:space="0" w:color="auto"/>
            <w:bottom w:val="none" w:sz="0" w:space="0" w:color="auto"/>
            <w:right w:val="none" w:sz="0" w:space="0" w:color="auto"/>
          </w:divBdr>
        </w:div>
        <w:div w:id="447434832">
          <w:marLeft w:val="0"/>
          <w:marRight w:val="0"/>
          <w:marTop w:val="0"/>
          <w:marBottom w:val="0"/>
          <w:divBdr>
            <w:top w:val="none" w:sz="0" w:space="0" w:color="auto"/>
            <w:left w:val="none" w:sz="0" w:space="0" w:color="auto"/>
            <w:bottom w:val="none" w:sz="0" w:space="0" w:color="auto"/>
            <w:right w:val="none" w:sz="0" w:space="0" w:color="auto"/>
          </w:divBdr>
        </w:div>
        <w:div w:id="619069849">
          <w:marLeft w:val="0"/>
          <w:marRight w:val="0"/>
          <w:marTop w:val="0"/>
          <w:marBottom w:val="0"/>
          <w:divBdr>
            <w:top w:val="none" w:sz="0" w:space="0" w:color="auto"/>
            <w:left w:val="none" w:sz="0" w:space="0" w:color="auto"/>
            <w:bottom w:val="none" w:sz="0" w:space="0" w:color="auto"/>
            <w:right w:val="none" w:sz="0" w:space="0" w:color="auto"/>
          </w:divBdr>
        </w:div>
      </w:divsChild>
    </w:div>
    <w:div w:id="49866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fmc.org/bsfe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eetings.npfmc.org/CommentReview/DownloadFile?p=3cf04e77-b081-46dc-8922-0eb9153c16c6.pdf&amp;fileName=Policy%20Guidelines%20for%20Emergency%20Rules.pdf"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69EC7-27CB-4A24-BC2F-2976B7064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6</Pages>
  <Words>3435</Words>
  <Characters>15600</Characters>
  <Application>Microsoft Office Word</Application>
  <DocSecurity>0</DocSecurity>
  <Lines>433</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Evans</dc:creator>
  <cp:keywords/>
  <dc:description/>
  <cp:lastModifiedBy>Diana Evans</cp:lastModifiedBy>
  <cp:revision>5</cp:revision>
  <cp:lastPrinted>2019-09-25T17:58:00Z</cp:lastPrinted>
  <dcterms:created xsi:type="dcterms:W3CDTF">2020-05-29T19:28:00Z</dcterms:created>
  <dcterms:modified xsi:type="dcterms:W3CDTF">2020-05-29T21:49:00Z</dcterms:modified>
</cp:coreProperties>
</file>