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5 Summary of deck sorting EFP history, 2009 through 2019."/>
        <w:tblDescription w:val="Summary of the deck sorting EFP provisions for the years 2009, 2012, and 2015 - 2019. "/>
      </w:tblPr>
      <w:tblGrid>
        <w:gridCol w:w="967"/>
        <w:gridCol w:w="1302"/>
        <w:gridCol w:w="1487"/>
        <w:gridCol w:w="975"/>
        <w:gridCol w:w="1158"/>
        <w:gridCol w:w="1277"/>
        <w:gridCol w:w="3207"/>
        <w:gridCol w:w="1389"/>
        <w:gridCol w:w="1188"/>
      </w:tblGrid>
      <w:tr w:rsidR="00971E0B" w:rsidRPr="00971E0B" w:rsidTr="00215432">
        <w:trPr>
          <w:tblHeader/>
        </w:trPr>
        <w:tc>
          <w:tcPr>
            <w:tcW w:w="0" w:type="auto"/>
          </w:tcPr>
          <w:p w:rsidR="00971E0B" w:rsidRPr="00971E0B" w:rsidRDefault="00971E0B" w:rsidP="00971E0B">
            <w:pPr>
              <w:spacing w:after="120"/>
              <w:rPr>
                <w:b/>
              </w:rPr>
            </w:pPr>
            <w:r w:rsidRPr="00971E0B">
              <w:rPr>
                <w:b/>
              </w:rPr>
              <w:t>Year</w:t>
            </w:r>
          </w:p>
        </w:tc>
        <w:tc>
          <w:tcPr>
            <w:tcW w:w="0" w:type="auto"/>
          </w:tcPr>
          <w:p w:rsidR="00971E0B" w:rsidRPr="00971E0B" w:rsidRDefault="00971E0B" w:rsidP="00971E0B">
            <w:pPr>
              <w:spacing w:after="120"/>
              <w:rPr>
                <w:b/>
              </w:rPr>
            </w:pPr>
            <w:r w:rsidRPr="00971E0B">
              <w:rPr>
                <w:b/>
              </w:rPr>
              <w:t>Management Area</w:t>
            </w:r>
          </w:p>
        </w:tc>
        <w:tc>
          <w:tcPr>
            <w:tcW w:w="0" w:type="auto"/>
          </w:tcPr>
          <w:p w:rsidR="00971E0B" w:rsidRPr="00971E0B" w:rsidRDefault="00971E0B" w:rsidP="00971E0B">
            <w:pPr>
              <w:spacing w:after="120"/>
              <w:rPr>
                <w:b/>
              </w:rPr>
            </w:pPr>
            <w:r w:rsidRPr="00971E0B">
              <w:rPr>
                <w:b/>
              </w:rPr>
              <w:t>Participating Sectors</w:t>
            </w:r>
          </w:p>
        </w:tc>
        <w:tc>
          <w:tcPr>
            <w:tcW w:w="0" w:type="auto"/>
          </w:tcPr>
          <w:p w:rsidR="00971E0B" w:rsidRPr="00971E0B" w:rsidRDefault="00971E0B" w:rsidP="00971E0B">
            <w:pPr>
              <w:spacing w:after="120"/>
              <w:rPr>
                <w:b/>
              </w:rPr>
            </w:pPr>
            <w:r w:rsidRPr="00971E0B">
              <w:rPr>
                <w:b/>
              </w:rPr>
              <w:t>Number of Vessels</w:t>
            </w:r>
          </w:p>
        </w:tc>
        <w:tc>
          <w:tcPr>
            <w:tcW w:w="0" w:type="auto"/>
          </w:tcPr>
          <w:p w:rsidR="00971E0B" w:rsidRPr="00971E0B" w:rsidRDefault="00971E0B" w:rsidP="00971E0B">
            <w:pPr>
              <w:spacing w:after="120"/>
              <w:rPr>
                <w:b/>
              </w:rPr>
            </w:pPr>
            <w:r w:rsidRPr="00971E0B">
              <w:rPr>
                <w:b/>
              </w:rPr>
              <w:t>EFP Fishing Months</w:t>
            </w:r>
          </w:p>
        </w:tc>
        <w:tc>
          <w:tcPr>
            <w:tcW w:w="0" w:type="auto"/>
          </w:tcPr>
          <w:p w:rsidR="00971E0B" w:rsidRPr="00971E0B" w:rsidRDefault="00971E0B" w:rsidP="00971E0B">
            <w:pPr>
              <w:spacing w:after="120"/>
              <w:rPr>
                <w:b/>
              </w:rPr>
            </w:pPr>
            <w:r w:rsidRPr="00971E0B">
              <w:rPr>
                <w:b/>
              </w:rPr>
              <w:t>Sampling</w:t>
            </w:r>
          </w:p>
        </w:tc>
        <w:tc>
          <w:tcPr>
            <w:tcW w:w="0" w:type="auto"/>
          </w:tcPr>
          <w:p w:rsidR="00971E0B" w:rsidRPr="00971E0B" w:rsidRDefault="00971E0B" w:rsidP="00971E0B">
            <w:pPr>
              <w:spacing w:after="120"/>
              <w:rPr>
                <w:b/>
              </w:rPr>
            </w:pPr>
            <w:r w:rsidRPr="00971E0B">
              <w:rPr>
                <w:b/>
              </w:rPr>
              <w:t>Halibut Discard Estimate Method</w:t>
            </w:r>
          </w:p>
        </w:tc>
        <w:tc>
          <w:tcPr>
            <w:tcW w:w="0" w:type="auto"/>
          </w:tcPr>
          <w:p w:rsidR="00971E0B" w:rsidRPr="00971E0B" w:rsidRDefault="00971E0B" w:rsidP="00971E0B">
            <w:pPr>
              <w:spacing w:after="120"/>
              <w:rPr>
                <w:b/>
              </w:rPr>
            </w:pPr>
            <w:r w:rsidRPr="00971E0B">
              <w:rPr>
                <w:b/>
              </w:rPr>
              <w:t>EFP Halibut Mortality Rate (percent)</w:t>
            </w:r>
            <w:r w:rsidRPr="00971E0B">
              <w:rPr>
                <w:b/>
                <w:vertAlign w:val="superscript"/>
              </w:rPr>
              <w:footnoteReference w:id="1"/>
            </w:r>
          </w:p>
        </w:tc>
        <w:tc>
          <w:tcPr>
            <w:tcW w:w="0" w:type="auto"/>
          </w:tcPr>
          <w:p w:rsidR="00971E0B" w:rsidRPr="00971E0B" w:rsidRDefault="00971E0B" w:rsidP="00971E0B">
            <w:pPr>
              <w:spacing w:after="120"/>
              <w:rPr>
                <w:b/>
              </w:rPr>
            </w:pPr>
            <w:r w:rsidRPr="00971E0B">
              <w:rPr>
                <w:b/>
              </w:rPr>
              <w:t>Halibut Mortality Savings (t)</w:t>
            </w:r>
            <w:r w:rsidRPr="00971E0B">
              <w:rPr>
                <w:vertAlign w:val="superscript"/>
              </w:rPr>
              <w:footnoteReference w:id="2"/>
            </w:r>
          </w:p>
        </w:tc>
      </w:tr>
      <w:tr w:rsidR="00971E0B" w:rsidRPr="00971E0B" w:rsidTr="00215432">
        <w:tc>
          <w:tcPr>
            <w:tcW w:w="0" w:type="auto"/>
          </w:tcPr>
          <w:p w:rsidR="00971E0B" w:rsidRPr="00971E0B" w:rsidRDefault="00971E0B" w:rsidP="00971E0B">
            <w:pPr>
              <w:spacing w:after="120"/>
            </w:pPr>
            <w:r w:rsidRPr="00971E0B">
              <w:t>2009</w:t>
            </w:r>
          </w:p>
        </w:tc>
        <w:tc>
          <w:tcPr>
            <w:tcW w:w="0" w:type="auto"/>
          </w:tcPr>
          <w:p w:rsidR="00971E0B" w:rsidRPr="00971E0B" w:rsidRDefault="00971E0B" w:rsidP="00971E0B">
            <w:pPr>
              <w:spacing w:after="120"/>
            </w:pPr>
            <w:r w:rsidRPr="00971E0B">
              <w:t>BSAI</w:t>
            </w:r>
          </w:p>
        </w:tc>
        <w:tc>
          <w:tcPr>
            <w:tcW w:w="0" w:type="auto"/>
          </w:tcPr>
          <w:p w:rsidR="00971E0B" w:rsidRPr="00971E0B" w:rsidRDefault="00971E0B" w:rsidP="00971E0B">
            <w:pPr>
              <w:spacing w:after="120"/>
            </w:pPr>
            <w:r w:rsidRPr="00971E0B">
              <w:t>A80 CPs</w:t>
            </w:r>
          </w:p>
        </w:tc>
        <w:tc>
          <w:tcPr>
            <w:tcW w:w="0" w:type="auto"/>
          </w:tcPr>
          <w:p w:rsidR="00971E0B" w:rsidRPr="00971E0B" w:rsidRDefault="00971E0B" w:rsidP="00971E0B">
            <w:pPr>
              <w:spacing w:after="120"/>
            </w:pPr>
            <w:r w:rsidRPr="00971E0B">
              <w:t>3</w:t>
            </w:r>
          </w:p>
        </w:tc>
        <w:tc>
          <w:tcPr>
            <w:tcW w:w="0" w:type="auto"/>
          </w:tcPr>
          <w:p w:rsidR="00971E0B" w:rsidRPr="00971E0B" w:rsidRDefault="00971E0B" w:rsidP="00971E0B">
            <w:pPr>
              <w:spacing w:after="120"/>
            </w:pPr>
            <w:r w:rsidRPr="00971E0B">
              <w:t>May, June</w:t>
            </w:r>
          </w:p>
        </w:tc>
        <w:tc>
          <w:tcPr>
            <w:tcW w:w="0" w:type="auto"/>
          </w:tcPr>
          <w:p w:rsidR="00971E0B" w:rsidRPr="00971E0B" w:rsidRDefault="00971E0B" w:rsidP="00971E0B">
            <w:pPr>
              <w:spacing w:after="120"/>
            </w:pPr>
            <w:r w:rsidRPr="00971E0B">
              <w:t>2 sea samplers (+ 2 observers)</w:t>
            </w:r>
          </w:p>
        </w:tc>
        <w:tc>
          <w:tcPr>
            <w:tcW w:w="0" w:type="auto"/>
          </w:tcPr>
          <w:p w:rsidR="00971E0B" w:rsidRPr="00971E0B" w:rsidRDefault="00971E0B" w:rsidP="00971E0B">
            <w:pPr>
              <w:spacing w:after="120"/>
            </w:pPr>
            <w:r w:rsidRPr="00971E0B">
              <w:t>Deck and factory census, length and viability for every halibut</w:t>
            </w:r>
          </w:p>
        </w:tc>
        <w:tc>
          <w:tcPr>
            <w:tcW w:w="0" w:type="auto"/>
          </w:tcPr>
          <w:p w:rsidR="00971E0B" w:rsidRPr="00971E0B" w:rsidRDefault="00971E0B" w:rsidP="00971E0B">
            <w:pPr>
              <w:spacing w:after="120"/>
            </w:pPr>
            <w:r w:rsidRPr="00971E0B">
              <w:t>48</w:t>
            </w:r>
          </w:p>
        </w:tc>
        <w:tc>
          <w:tcPr>
            <w:tcW w:w="0" w:type="auto"/>
          </w:tcPr>
          <w:p w:rsidR="00971E0B" w:rsidRPr="00971E0B" w:rsidRDefault="00971E0B" w:rsidP="00971E0B">
            <w:pPr>
              <w:spacing w:after="120"/>
            </w:pPr>
            <w:r w:rsidRPr="00971E0B">
              <w:t>17.15</w:t>
            </w:r>
          </w:p>
        </w:tc>
      </w:tr>
      <w:tr w:rsidR="00971E0B" w:rsidRPr="00971E0B" w:rsidTr="00215432">
        <w:tc>
          <w:tcPr>
            <w:tcW w:w="0" w:type="auto"/>
          </w:tcPr>
          <w:p w:rsidR="00971E0B" w:rsidRPr="00971E0B" w:rsidRDefault="00971E0B" w:rsidP="00971E0B">
            <w:pPr>
              <w:spacing w:after="120"/>
            </w:pPr>
            <w:r w:rsidRPr="00971E0B">
              <w:t>2012</w:t>
            </w:r>
          </w:p>
        </w:tc>
        <w:tc>
          <w:tcPr>
            <w:tcW w:w="0" w:type="auto"/>
          </w:tcPr>
          <w:p w:rsidR="00971E0B" w:rsidRPr="00971E0B" w:rsidRDefault="00971E0B" w:rsidP="00971E0B">
            <w:pPr>
              <w:spacing w:after="120"/>
            </w:pPr>
            <w:r w:rsidRPr="00971E0B">
              <w:t>BSAI</w:t>
            </w:r>
          </w:p>
        </w:tc>
        <w:tc>
          <w:tcPr>
            <w:tcW w:w="0" w:type="auto"/>
          </w:tcPr>
          <w:p w:rsidR="00971E0B" w:rsidRPr="00971E0B" w:rsidRDefault="00971E0B" w:rsidP="00971E0B">
            <w:pPr>
              <w:spacing w:after="120"/>
            </w:pPr>
            <w:r w:rsidRPr="00971E0B">
              <w:t>A80 CPs</w:t>
            </w:r>
          </w:p>
        </w:tc>
        <w:tc>
          <w:tcPr>
            <w:tcW w:w="0" w:type="auto"/>
          </w:tcPr>
          <w:p w:rsidR="00971E0B" w:rsidRPr="00971E0B" w:rsidRDefault="00971E0B" w:rsidP="00971E0B">
            <w:pPr>
              <w:spacing w:after="120"/>
            </w:pPr>
            <w:r w:rsidRPr="00971E0B">
              <w:t>4</w:t>
            </w:r>
          </w:p>
        </w:tc>
        <w:tc>
          <w:tcPr>
            <w:tcW w:w="0" w:type="auto"/>
          </w:tcPr>
          <w:p w:rsidR="00971E0B" w:rsidRPr="00971E0B" w:rsidRDefault="00971E0B" w:rsidP="00971E0B">
            <w:pPr>
              <w:spacing w:after="120"/>
            </w:pPr>
            <w:r w:rsidRPr="00971E0B">
              <w:t>May – September</w:t>
            </w:r>
          </w:p>
        </w:tc>
        <w:tc>
          <w:tcPr>
            <w:tcW w:w="0" w:type="auto"/>
          </w:tcPr>
          <w:p w:rsidR="00971E0B" w:rsidRPr="00971E0B" w:rsidRDefault="00971E0B" w:rsidP="00971E0B">
            <w:pPr>
              <w:spacing w:after="120"/>
            </w:pPr>
            <w:r w:rsidRPr="00971E0B">
              <w:t>2 sea samplers (+ 2 observers)</w:t>
            </w:r>
          </w:p>
        </w:tc>
        <w:tc>
          <w:tcPr>
            <w:tcW w:w="0" w:type="auto"/>
          </w:tcPr>
          <w:p w:rsidR="00971E0B" w:rsidRPr="00971E0B" w:rsidRDefault="00971E0B" w:rsidP="00971E0B">
            <w:pPr>
              <w:spacing w:after="120"/>
            </w:pPr>
            <w:r w:rsidRPr="00971E0B">
              <w:t>Deck: systematic random sample of 1 in 5 halibut, length and viability; census on 20 percent of EFP hauls; Factory: observer species composition sample</w:t>
            </w:r>
          </w:p>
        </w:tc>
        <w:tc>
          <w:tcPr>
            <w:tcW w:w="0" w:type="auto"/>
          </w:tcPr>
          <w:p w:rsidR="00971E0B" w:rsidRPr="00971E0B" w:rsidRDefault="00971E0B" w:rsidP="00971E0B">
            <w:pPr>
              <w:spacing w:after="120"/>
            </w:pPr>
            <w:r w:rsidRPr="00971E0B">
              <w:t>62</w:t>
            </w:r>
          </w:p>
        </w:tc>
        <w:tc>
          <w:tcPr>
            <w:tcW w:w="0" w:type="auto"/>
          </w:tcPr>
          <w:p w:rsidR="00971E0B" w:rsidRPr="00971E0B" w:rsidRDefault="00971E0B" w:rsidP="00971E0B">
            <w:pPr>
              <w:spacing w:after="120"/>
            </w:pPr>
            <w:r w:rsidRPr="00971E0B">
              <w:t>10.77</w:t>
            </w:r>
          </w:p>
        </w:tc>
      </w:tr>
      <w:tr w:rsidR="00971E0B" w:rsidRPr="00971E0B" w:rsidTr="00215432">
        <w:tc>
          <w:tcPr>
            <w:tcW w:w="0" w:type="auto"/>
          </w:tcPr>
          <w:p w:rsidR="00971E0B" w:rsidRPr="00971E0B" w:rsidRDefault="00971E0B" w:rsidP="00971E0B">
            <w:pPr>
              <w:spacing w:after="120"/>
            </w:pPr>
            <w:r w:rsidRPr="00971E0B">
              <w:t>2015</w:t>
            </w:r>
          </w:p>
        </w:tc>
        <w:tc>
          <w:tcPr>
            <w:tcW w:w="0" w:type="auto"/>
          </w:tcPr>
          <w:p w:rsidR="00971E0B" w:rsidRPr="00971E0B" w:rsidRDefault="00971E0B" w:rsidP="00971E0B">
            <w:pPr>
              <w:spacing w:after="120"/>
            </w:pPr>
            <w:r w:rsidRPr="00971E0B">
              <w:t>BSAI</w:t>
            </w:r>
          </w:p>
        </w:tc>
        <w:tc>
          <w:tcPr>
            <w:tcW w:w="0" w:type="auto"/>
          </w:tcPr>
          <w:p w:rsidR="00971E0B" w:rsidRPr="00971E0B" w:rsidRDefault="00971E0B" w:rsidP="00971E0B">
            <w:pPr>
              <w:spacing w:after="120"/>
            </w:pPr>
            <w:r w:rsidRPr="00971E0B">
              <w:t>A80 CPs</w:t>
            </w:r>
          </w:p>
        </w:tc>
        <w:tc>
          <w:tcPr>
            <w:tcW w:w="0" w:type="auto"/>
          </w:tcPr>
          <w:p w:rsidR="00971E0B" w:rsidRPr="00971E0B" w:rsidRDefault="00971E0B" w:rsidP="00971E0B">
            <w:pPr>
              <w:spacing w:after="120"/>
            </w:pPr>
            <w:r w:rsidRPr="00971E0B">
              <w:t>9</w:t>
            </w:r>
          </w:p>
        </w:tc>
        <w:tc>
          <w:tcPr>
            <w:tcW w:w="0" w:type="auto"/>
          </w:tcPr>
          <w:p w:rsidR="00971E0B" w:rsidRPr="00971E0B" w:rsidRDefault="00971E0B" w:rsidP="00971E0B">
            <w:pPr>
              <w:spacing w:after="120"/>
            </w:pPr>
            <w:r w:rsidRPr="00971E0B">
              <w:t>May – November</w:t>
            </w:r>
          </w:p>
        </w:tc>
        <w:tc>
          <w:tcPr>
            <w:tcW w:w="0" w:type="auto"/>
          </w:tcPr>
          <w:p w:rsidR="00971E0B" w:rsidRPr="00971E0B" w:rsidRDefault="00971E0B" w:rsidP="00971E0B">
            <w:pPr>
              <w:spacing w:after="120"/>
            </w:pPr>
            <w:r w:rsidRPr="00971E0B">
              <w:t>2 sea samplers (+ 2 observers)</w:t>
            </w:r>
          </w:p>
        </w:tc>
        <w:tc>
          <w:tcPr>
            <w:tcW w:w="0" w:type="auto"/>
          </w:tcPr>
          <w:p w:rsidR="00971E0B" w:rsidRPr="00971E0B" w:rsidRDefault="00971E0B" w:rsidP="00971E0B">
            <w:pPr>
              <w:spacing w:after="120"/>
            </w:pPr>
            <w:r w:rsidRPr="00971E0B">
              <w:t>Same as 2012, except crew census of halibut in the factory</w:t>
            </w:r>
          </w:p>
        </w:tc>
        <w:tc>
          <w:tcPr>
            <w:tcW w:w="0" w:type="auto"/>
          </w:tcPr>
          <w:p w:rsidR="00971E0B" w:rsidRPr="00971E0B" w:rsidRDefault="00971E0B" w:rsidP="00971E0B">
            <w:pPr>
              <w:spacing w:after="120"/>
            </w:pPr>
            <w:r w:rsidRPr="00971E0B">
              <w:t>49</w:t>
            </w:r>
          </w:p>
        </w:tc>
        <w:tc>
          <w:tcPr>
            <w:tcW w:w="0" w:type="auto"/>
          </w:tcPr>
          <w:p w:rsidR="00971E0B" w:rsidRPr="00971E0B" w:rsidRDefault="00971E0B" w:rsidP="00971E0B">
            <w:pPr>
              <w:spacing w:after="120"/>
            </w:pPr>
            <w:r w:rsidRPr="00971E0B">
              <w:t>151.6</w:t>
            </w:r>
          </w:p>
        </w:tc>
      </w:tr>
      <w:tr w:rsidR="00971E0B" w:rsidRPr="00971E0B" w:rsidTr="00215432">
        <w:tc>
          <w:tcPr>
            <w:tcW w:w="0" w:type="auto"/>
          </w:tcPr>
          <w:p w:rsidR="00971E0B" w:rsidRPr="00971E0B" w:rsidRDefault="00971E0B" w:rsidP="00971E0B">
            <w:pPr>
              <w:spacing w:after="120"/>
            </w:pPr>
            <w:r w:rsidRPr="00971E0B">
              <w:t>2016</w:t>
            </w:r>
          </w:p>
        </w:tc>
        <w:tc>
          <w:tcPr>
            <w:tcW w:w="0" w:type="auto"/>
          </w:tcPr>
          <w:p w:rsidR="00971E0B" w:rsidRPr="00971E0B" w:rsidRDefault="00971E0B" w:rsidP="00971E0B">
            <w:pPr>
              <w:spacing w:after="120"/>
            </w:pPr>
            <w:r w:rsidRPr="00971E0B">
              <w:t>BSAI</w:t>
            </w:r>
          </w:p>
        </w:tc>
        <w:tc>
          <w:tcPr>
            <w:tcW w:w="0" w:type="auto"/>
          </w:tcPr>
          <w:p w:rsidR="00971E0B" w:rsidRPr="00971E0B" w:rsidRDefault="00971E0B" w:rsidP="00971E0B">
            <w:pPr>
              <w:spacing w:after="120"/>
            </w:pPr>
            <w:r w:rsidRPr="00971E0B">
              <w:t>A 80/CDQ CPs</w:t>
            </w:r>
            <w:r w:rsidRPr="00971E0B">
              <w:rPr>
                <w:vertAlign w:val="superscript"/>
              </w:rPr>
              <w:footnoteReference w:id="3"/>
            </w:r>
          </w:p>
        </w:tc>
        <w:tc>
          <w:tcPr>
            <w:tcW w:w="0" w:type="auto"/>
          </w:tcPr>
          <w:p w:rsidR="00971E0B" w:rsidRPr="00971E0B" w:rsidRDefault="00971E0B" w:rsidP="00971E0B">
            <w:pPr>
              <w:spacing w:after="120"/>
            </w:pPr>
            <w:r w:rsidRPr="00971E0B">
              <w:t>12</w:t>
            </w:r>
          </w:p>
        </w:tc>
        <w:tc>
          <w:tcPr>
            <w:tcW w:w="0" w:type="auto"/>
          </w:tcPr>
          <w:p w:rsidR="00971E0B" w:rsidRPr="00971E0B" w:rsidRDefault="00971E0B" w:rsidP="00971E0B">
            <w:pPr>
              <w:spacing w:after="120"/>
            </w:pPr>
            <w:r w:rsidRPr="00971E0B">
              <w:t>May – December</w:t>
            </w:r>
          </w:p>
        </w:tc>
        <w:tc>
          <w:tcPr>
            <w:tcW w:w="0" w:type="auto"/>
          </w:tcPr>
          <w:p w:rsidR="00971E0B" w:rsidRPr="00971E0B" w:rsidRDefault="00971E0B" w:rsidP="00971E0B">
            <w:pPr>
              <w:spacing w:after="120"/>
            </w:pPr>
            <w:r w:rsidRPr="00971E0B">
              <w:t xml:space="preserve">3 observers </w:t>
            </w:r>
          </w:p>
        </w:tc>
        <w:tc>
          <w:tcPr>
            <w:tcW w:w="0" w:type="auto"/>
          </w:tcPr>
          <w:p w:rsidR="00971E0B" w:rsidRPr="00971E0B" w:rsidRDefault="00971E0B" w:rsidP="00971E0B">
            <w:pPr>
              <w:spacing w:after="120"/>
            </w:pPr>
            <w:r w:rsidRPr="00971E0B">
              <w:t>Same as 2015</w:t>
            </w:r>
          </w:p>
        </w:tc>
        <w:tc>
          <w:tcPr>
            <w:tcW w:w="0" w:type="auto"/>
          </w:tcPr>
          <w:p w:rsidR="00971E0B" w:rsidRPr="00971E0B" w:rsidRDefault="00971E0B" w:rsidP="00971E0B">
            <w:pPr>
              <w:spacing w:after="120"/>
            </w:pPr>
            <w:r w:rsidRPr="00971E0B">
              <w:t>45</w:t>
            </w:r>
          </w:p>
        </w:tc>
        <w:tc>
          <w:tcPr>
            <w:tcW w:w="0" w:type="auto"/>
          </w:tcPr>
          <w:p w:rsidR="00971E0B" w:rsidRPr="00971E0B" w:rsidRDefault="00971E0B" w:rsidP="00971E0B">
            <w:pPr>
              <w:spacing w:after="120"/>
            </w:pPr>
            <w:r w:rsidRPr="00971E0B">
              <w:t>290</w:t>
            </w:r>
          </w:p>
        </w:tc>
      </w:tr>
      <w:tr w:rsidR="00971E0B" w:rsidRPr="00971E0B" w:rsidTr="00215432">
        <w:tc>
          <w:tcPr>
            <w:tcW w:w="0" w:type="auto"/>
          </w:tcPr>
          <w:p w:rsidR="00971E0B" w:rsidRPr="00971E0B" w:rsidRDefault="00971E0B" w:rsidP="00971E0B">
            <w:pPr>
              <w:spacing w:after="120"/>
            </w:pPr>
            <w:r w:rsidRPr="00971E0B">
              <w:t>2017</w:t>
            </w:r>
          </w:p>
        </w:tc>
        <w:tc>
          <w:tcPr>
            <w:tcW w:w="0" w:type="auto"/>
          </w:tcPr>
          <w:p w:rsidR="00971E0B" w:rsidRPr="00971E0B" w:rsidRDefault="00971E0B" w:rsidP="00971E0B">
            <w:pPr>
              <w:spacing w:after="120"/>
            </w:pPr>
            <w:r w:rsidRPr="00971E0B">
              <w:t>BSAI</w:t>
            </w:r>
          </w:p>
        </w:tc>
        <w:tc>
          <w:tcPr>
            <w:tcW w:w="0" w:type="auto"/>
          </w:tcPr>
          <w:p w:rsidR="00971E0B" w:rsidRPr="00971E0B" w:rsidRDefault="00971E0B" w:rsidP="00971E0B">
            <w:pPr>
              <w:spacing w:after="120"/>
            </w:pPr>
            <w:r w:rsidRPr="00971E0B">
              <w:t>A 80/TLAS/CDQ CPs</w:t>
            </w:r>
          </w:p>
        </w:tc>
        <w:tc>
          <w:tcPr>
            <w:tcW w:w="0" w:type="auto"/>
          </w:tcPr>
          <w:p w:rsidR="00971E0B" w:rsidRPr="00971E0B" w:rsidRDefault="00971E0B" w:rsidP="00971E0B">
            <w:pPr>
              <w:spacing w:after="120"/>
            </w:pPr>
            <w:r w:rsidRPr="00971E0B">
              <w:t>17</w:t>
            </w:r>
          </w:p>
        </w:tc>
        <w:tc>
          <w:tcPr>
            <w:tcW w:w="0" w:type="auto"/>
          </w:tcPr>
          <w:p w:rsidR="00971E0B" w:rsidRPr="00971E0B" w:rsidRDefault="00971E0B" w:rsidP="00971E0B">
            <w:pPr>
              <w:spacing w:after="120"/>
            </w:pPr>
            <w:r w:rsidRPr="00971E0B">
              <w:t>January –December</w:t>
            </w:r>
          </w:p>
        </w:tc>
        <w:tc>
          <w:tcPr>
            <w:tcW w:w="0" w:type="auto"/>
          </w:tcPr>
          <w:p w:rsidR="00971E0B" w:rsidRPr="00971E0B" w:rsidRDefault="00971E0B" w:rsidP="00971E0B">
            <w:pPr>
              <w:spacing w:after="120"/>
            </w:pPr>
            <w:r w:rsidRPr="00971E0B">
              <w:t>2 – 4 observers; vessel choice</w:t>
            </w:r>
          </w:p>
        </w:tc>
        <w:tc>
          <w:tcPr>
            <w:tcW w:w="0" w:type="auto"/>
          </w:tcPr>
          <w:p w:rsidR="00971E0B" w:rsidRPr="00971E0B" w:rsidRDefault="00971E0B" w:rsidP="00971E0B">
            <w:pPr>
              <w:spacing w:after="120"/>
            </w:pPr>
            <w:r w:rsidRPr="00971E0B">
              <w:t>Deck: same as 2015; Factory: observer species composition sample and census by crew</w:t>
            </w:r>
          </w:p>
        </w:tc>
        <w:tc>
          <w:tcPr>
            <w:tcW w:w="0" w:type="auto"/>
          </w:tcPr>
          <w:p w:rsidR="00971E0B" w:rsidRPr="00971E0B" w:rsidRDefault="00971E0B" w:rsidP="00971E0B">
            <w:pPr>
              <w:spacing w:after="120"/>
            </w:pPr>
            <w:r w:rsidRPr="00971E0B">
              <w:t>55</w:t>
            </w:r>
          </w:p>
        </w:tc>
        <w:tc>
          <w:tcPr>
            <w:tcW w:w="0" w:type="auto"/>
          </w:tcPr>
          <w:p w:rsidR="00971E0B" w:rsidRPr="00971E0B" w:rsidRDefault="00971E0B" w:rsidP="00971E0B">
            <w:pPr>
              <w:spacing w:after="120"/>
            </w:pPr>
            <w:r w:rsidRPr="00971E0B">
              <w:t>599</w:t>
            </w:r>
          </w:p>
        </w:tc>
      </w:tr>
      <w:tr w:rsidR="00971E0B" w:rsidRPr="00971E0B" w:rsidTr="00215432">
        <w:tc>
          <w:tcPr>
            <w:tcW w:w="0" w:type="auto"/>
          </w:tcPr>
          <w:p w:rsidR="00971E0B" w:rsidRPr="00971E0B" w:rsidRDefault="00971E0B" w:rsidP="00971E0B">
            <w:pPr>
              <w:spacing w:after="120"/>
            </w:pPr>
            <w:r w:rsidRPr="00971E0B">
              <w:t>2018/2019</w:t>
            </w:r>
          </w:p>
        </w:tc>
        <w:tc>
          <w:tcPr>
            <w:tcW w:w="0" w:type="auto"/>
          </w:tcPr>
          <w:p w:rsidR="00971E0B" w:rsidRPr="00971E0B" w:rsidRDefault="00971E0B" w:rsidP="00971E0B">
            <w:pPr>
              <w:spacing w:after="120"/>
            </w:pPr>
            <w:r w:rsidRPr="00971E0B">
              <w:t>BSAI, GOA</w:t>
            </w:r>
          </w:p>
        </w:tc>
        <w:tc>
          <w:tcPr>
            <w:tcW w:w="0" w:type="auto"/>
          </w:tcPr>
          <w:p w:rsidR="00971E0B" w:rsidRPr="00971E0B" w:rsidRDefault="00971E0B" w:rsidP="00971E0B">
            <w:pPr>
              <w:spacing w:after="120"/>
            </w:pPr>
            <w:r w:rsidRPr="00971E0B">
              <w:t>A80/TLAS/CDQ CPs</w:t>
            </w:r>
          </w:p>
        </w:tc>
        <w:tc>
          <w:tcPr>
            <w:tcW w:w="0" w:type="auto"/>
          </w:tcPr>
          <w:p w:rsidR="00971E0B" w:rsidRPr="00971E0B" w:rsidRDefault="00971E0B" w:rsidP="00971E0B">
            <w:pPr>
              <w:spacing w:after="120"/>
            </w:pPr>
            <w:r w:rsidRPr="00971E0B">
              <w:t>21</w:t>
            </w:r>
            <w:r w:rsidRPr="00971E0B">
              <w:rPr>
                <w:vertAlign w:val="superscript"/>
              </w:rPr>
              <w:footnoteReference w:id="4"/>
            </w:r>
          </w:p>
        </w:tc>
        <w:tc>
          <w:tcPr>
            <w:tcW w:w="0" w:type="auto"/>
          </w:tcPr>
          <w:p w:rsidR="00971E0B" w:rsidRPr="00971E0B" w:rsidRDefault="00971E0B" w:rsidP="00971E0B">
            <w:pPr>
              <w:spacing w:after="120"/>
            </w:pPr>
            <w:r w:rsidRPr="00971E0B">
              <w:t>January  –TBD</w:t>
            </w:r>
          </w:p>
        </w:tc>
        <w:tc>
          <w:tcPr>
            <w:tcW w:w="0" w:type="auto"/>
          </w:tcPr>
          <w:p w:rsidR="00971E0B" w:rsidRPr="00971E0B" w:rsidRDefault="00971E0B" w:rsidP="00971E0B">
            <w:pPr>
              <w:spacing w:after="120"/>
            </w:pPr>
            <w:r w:rsidRPr="00971E0B">
              <w:t>2 – 4 observers; vessel choice</w:t>
            </w:r>
          </w:p>
        </w:tc>
        <w:tc>
          <w:tcPr>
            <w:tcW w:w="0" w:type="auto"/>
          </w:tcPr>
          <w:p w:rsidR="00971E0B" w:rsidRPr="00971E0B" w:rsidRDefault="00971E0B" w:rsidP="00971E0B">
            <w:pPr>
              <w:spacing w:after="120"/>
            </w:pPr>
            <w:r w:rsidRPr="00971E0B">
              <w:t>In 2018 (may change in 2019)</w:t>
            </w:r>
          </w:p>
          <w:p w:rsidR="00971E0B" w:rsidRPr="00971E0B" w:rsidRDefault="00971E0B" w:rsidP="00971E0B">
            <w:pPr>
              <w:spacing w:after="120"/>
            </w:pPr>
            <w:r w:rsidRPr="00971E0B">
              <w:t>Deck: Collect lengths on first 15 fish then length and viability of 1 in 5 systematic random sample; Factory: observer species composition sample</w:t>
            </w:r>
          </w:p>
        </w:tc>
        <w:tc>
          <w:tcPr>
            <w:tcW w:w="0" w:type="auto"/>
          </w:tcPr>
          <w:p w:rsidR="00971E0B" w:rsidRPr="00971E0B" w:rsidRDefault="00971E0B" w:rsidP="00971E0B">
            <w:pPr>
              <w:spacing w:after="120"/>
            </w:pPr>
            <w:r w:rsidRPr="00971E0B">
              <w:t>TBD</w:t>
            </w:r>
          </w:p>
        </w:tc>
        <w:tc>
          <w:tcPr>
            <w:tcW w:w="0" w:type="auto"/>
          </w:tcPr>
          <w:p w:rsidR="00971E0B" w:rsidRPr="00971E0B" w:rsidRDefault="00971E0B" w:rsidP="00971E0B">
            <w:pPr>
              <w:spacing w:after="120"/>
            </w:pPr>
            <w:r w:rsidRPr="00971E0B">
              <w:t>TBD</w:t>
            </w:r>
          </w:p>
        </w:tc>
      </w:tr>
    </w:tbl>
    <w:p w:rsidR="006E0C1E" w:rsidRDefault="00971E0B" w:rsidP="00971E0B">
      <w:pPr>
        <w:pStyle w:val="Caption"/>
      </w:pPr>
      <w:r w:rsidRPr="00465994">
        <w:t xml:space="preserve">Summary of </w:t>
      </w:r>
      <w:r>
        <w:t>d</w:t>
      </w:r>
      <w:r w:rsidRPr="00465994">
        <w:t xml:space="preserve">eck </w:t>
      </w:r>
      <w:r>
        <w:t>sorting EFP history, 2009 through 2019.</w:t>
      </w:r>
      <w:bookmarkStart w:id="0" w:name="_GoBack"/>
      <w:bookmarkEnd w:id="0"/>
    </w:p>
    <w:sectPr w:rsidR="006E0C1E" w:rsidSect="00971E0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45" w:rsidRDefault="00173E45" w:rsidP="00971E0B">
      <w:pPr>
        <w:spacing w:after="0" w:line="240" w:lineRule="auto"/>
      </w:pPr>
      <w:r>
        <w:separator/>
      </w:r>
    </w:p>
  </w:endnote>
  <w:endnote w:type="continuationSeparator" w:id="0">
    <w:p w:rsidR="00173E45" w:rsidRDefault="00173E45" w:rsidP="009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45" w:rsidRDefault="00173E45" w:rsidP="00971E0B">
      <w:pPr>
        <w:spacing w:after="0" w:line="240" w:lineRule="auto"/>
      </w:pPr>
      <w:r>
        <w:separator/>
      </w:r>
    </w:p>
  </w:footnote>
  <w:footnote w:type="continuationSeparator" w:id="0">
    <w:p w:rsidR="00173E45" w:rsidRDefault="00173E45" w:rsidP="00971E0B">
      <w:pPr>
        <w:spacing w:after="0" w:line="240" w:lineRule="auto"/>
      </w:pPr>
      <w:r>
        <w:continuationSeparator/>
      </w:r>
    </w:p>
  </w:footnote>
  <w:footnote w:id="1">
    <w:p w:rsidR="00971E0B" w:rsidRDefault="00971E0B" w:rsidP="00971E0B">
      <w:pPr>
        <w:pStyle w:val="FootnoteText"/>
      </w:pPr>
      <w:r>
        <w:rPr>
          <w:rStyle w:val="FootnoteReference"/>
        </w:rPr>
        <w:footnoteRef/>
      </w:r>
      <w:r>
        <w:t xml:space="preserve"> For this table, the EFP Halibut Mortality Rate includes factory and deck sorted halibut. In section 4.1.4 of this report, the combination of both sources of mortality is referred to as the “effective” mortality rate. Source: Final reports prepared by the EFP Principal Investigator. Reports available online at: </w:t>
      </w:r>
      <w:hyperlink r:id="rId1" w:history="1">
        <w:r w:rsidRPr="00733154">
          <w:rPr>
            <w:rStyle w:val="Hyperlink"/>
          </w:rPr>
          <w:t>https://alaskafisheries.noaa.gov/fisheries/efp</w:t>
        </w:r>
      </w:hyperlink>
      <w:r>
        <w:t>.</w:t>
      </w:r>
    </w:p>
  </w:footnote>
  <w:footnote w:id="2">
    <w:p w:rsidR="00971E0B" w:rsidRDefault="00971E0B" w:rsidP="00971E0B">
      <w:pPr>
        <w:pStyle w:val="FootnoteText"/>
      </w:pPr>
      <w:r>
        <w:rPr>
          <w:rStyle w:val="FootnoteReference"/>
        </w:rPr>
        <w:footnoteRef/>
      </w:r>
      <w:r>
        <w:t xml:space="preserve"> Source: Final reports prepared by the EFP Principal Investigator. Reports available online at: </w:t>
      </w:r>
      <w:hyperlink r:id="rId2" w:history="1">
        <w:r w:rsidRPr="00733154">
          <w:rPr>
            <w:rStyle w:val="Hyperlink"/>
          </w:rPr>
          <w:t>https://alaskafisheries.noaa.gov/fisheries/efp</w:t>
        </w:r>
      </w:hyperlink>
    </w:p>
  </w:footnote>
  <w:footnote w:id="3">
    <w:p w:rsidR="00971E0B" w:rsidRDefault="00971E0B" w:rsidP="00971E0B">
      <w:pPr>
        <w:pStyle w:val="FootnoteText"/>
      </w:pPr>
      <w:r>
        <w:rPr>
          <w:rStyle w:val="FootnoteReference"/>
        </w:rPr>
        <w:footnoteRef/>
      </w:r>
      <w:r>
        <w:t xml:space="preserve"> Note: The TLAS sector was included in the EFP; however, no deck sorting was conducted during TLAS fisheries.</w:t>
      </w:r>
    </w:p>
  </w:footnote>
  <w:footnote w:id="4">
    <w:p w:rsidR="00971E0B" w:rsidRDefault="00971E0B" w:rsidP="00971E0B">
      <w:pPr>
        <w:pStyle w:val="FootnoteText"/>
      </w:pPr>
      <w:r>
        <w:rPr>
          <w:rStyle w:val="FootnoteReference"/>
        </w:rPr>
        <w:footnoteRef/>
      </w:r>
      <w:r>
        <w:t xml:space="preserve"> </w:t>
      </w:r>
      <w:r w:rsidRPr="006407C1">
        <w:t>This table includes participants as of August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0B"/>
    <w:rsid w:val="00173E45"/>
    <w:rsid w:val="005F5937"/>
    <w:rsid w:val="00971E0B"/>
    <w:rsid w:val="00E4529C"/>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8B7E"/>
  <w15:chartTrackingRefBased/>
  <w15:docId w15:val="{24BB3CE4-8070-4449-BF5A-052F6F0E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1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E0B"/>
    <w:rPr>
      <w:sz w:val="20"/>
      <w:szCs w:val="20"/>
    </w:rPr>
  </w:style>
  <w:style w:type="table" w:styleId="TableGrid">
    <w:name w:val="Table Grid"/>
    <w:aliases w:val="@ Table"/>
    <w:basedOn w:val="TableNormal"/>
    <w:uiPriority w:val="39"/>
    <w:rsid w:val="00971E0B"/>
    <w:pPr>
      <w:spacing w:after="0" w:line="240" w:lineRule="auto"/>
      <w:jc w:val="center"/>
    </w:pPr>
    <w:rPr>
      <w:rFonts w:ascii="Arial" w:eastAsia="Times New Roman" w:hAnsi="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Hyperlink">
    <w:name w:val="Hyperlink"/>
    <w:uiPriority w:val="99"/>
    <w:rsid w:val="00971E0B"/>
    <w:rPr>
      <w:color w:val="0000FF"/>
      <w:u w:val="single"/>
    </w:rPr>
  </w:style>
  <w:style w:type="character" w:styleId="FootnoteReference">
    <w:name w:val="footnote reference"/>
    <w:uiPriority w:val="99"/>
    <w:rsid w:val="00971E0B"/>
    <w:rPr>
      <w:vertAlign w:val="superscript"/>
    </w:rPr>
  </w:style>
  <w:style w:type="paragraph" w:styleId="Caption">
    <w:name w:val="caption"/>
    <w:basedOn w:val="Normal"/>
    <w:next w:val="Normal"/>
    <w:link w:val="CaptionChar"/>
    <w:uiPriority w:val="35"/>
    <w:qFormat/>
    <w:rsid w:val="00971E0B"/>
    <w:pPr>
      <w:keepNext/>
      <w:keepLines/>
      <w:tabs>
        <w:tab w:val="left" w:pos="1080"/>
      </w:tabs>
      <w:spacing w:after="120" w:line="240" w:lineRule="auto"/>
      <w:ind w:left="1080" w:hanging="1080"/>
    </w:pPr>
    <w:rPr>
      <w:rFonts w:ascii="Arial" w:eastAsia="Times New Roman" w:hAnsi="Arial" w:cs="Arial"/>
      <w:b/>
      <w:bCs/>
      <w:sz w:val="18"/>
      <w:szCs w:val="20"/>
    </w:rPr>
  </w:style>
  <w:style w:type="character" w:customStyle="1" w:styleId="CaptionChar">
    <w:name w:val="Caption Char"/>
    <w:link w:val="Caption"/>
    <w:uiPriority w:val="35"/>
    <w:rsid w:val="00971E0B"/>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laskafisheries.noaa.gov/fisheries/efp" TargetMode="External"/><Relationship Id="rId1" Type="http://schemas.openxmlformats.org/officeDocument/2006/relationships/hyperlink" Target="https://alaskafisheries.noaa.gov/fisheries/e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krieger</dc:creator>
  <cp:keywords/>
  <dc:description/>
  <cp:lastModifiedBy>joseph krieger</cp:lastModifiedBy>
  <cp:revision>1</cp:revision>
  <dcterms:created xsi:type="dcterms:W3CDTF">2018-12-17T23:15:00Z</dcterms:created>
  <dcterms:modified xsi:type="dcterms:W3CDTF">2018-12-17T23:17:00Z</dcterms:modified>
</cp:coreProperties>
</file>