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4E44B" w14:textId="131BB87D" w:rsidR="00E33FF7" w:rsidRPr="00524849" w:rsidRDefault="00E33FF7" w:rsidP="00E33FF7">
      <w:pPr>
        <w:jc w:val="center"/>
        <w:rPr>
          <w:rFonts w:ascii="Arial" w:hAnsi="Arial" w:cs="Arial"/>
          <w:b/>
          <w:sz w:val="28"/>
          <w:szCs w:val="28"/>
        </w:rPr>
      </w:pPr>
      <w:r w:rsidRPr="00524849">
        <w:rPr>
          <w:rFonts w:ascii="Arial" w:hAnsi="Arial" w:cs="Arial"/>
          <w:b/>
          <w:sz w:val="28"/>
          <w:szCs w:val="28"/>
        </w:rPr>
        <w:t>Status of a</w:t>
      </w:r>
      <w:r w:rsidR="00482752" w:rsidRPr="00524849">
        <w:rPr>
          <w:rFonts w:ascii="Arial" w:hAnsi="Arial" w:cs="Arial"/>
          <w:b/>
          <w:sz w:val="28"/>
          <w:szCs w:val="28"/>
        </w:rPr>
        <w:t xml:space="preserve">nalytical </w:t>
      </w:r>
      <w:r w:rsidRPr="00524849">
        <w:rPr>
          <w:rFonts w:ascii="Arial" w:hAnsi="Arial" w:cs="Arial"/>
          <w:b/>
          <w:sz w:val="28"/>
          <w:szCs w:val="28"/>
        </w:rPr>
        <w:t xml:space="preserve">projects related to the </w:t>
      </w:r>
      <w:r w:rsidR="00FF0985" w:rsidRPr="00524849">
        <w:rPr>
          <w:rFonts w:ascii="Arial" w:hAnsi="Arial" w:cs="Arial"/>
          <w:b/>
          <w:sz w:val="28"/>
          <w:szCs w:val="28"/>
        </w:rPr>
        <w:t>Halibut &amp; Sablefish IFQ</w:t>
      </w:r>
      <w:r w:rsidRPr="00524849">
        <w:rPr>
          <w:rFonts w:ascii="Arial" w:hAnsi="Arial" w:cs="Arial"/>
          <w:b/>
          <w:sz w:val="28"/>
          <w:szCs w:val="28"/>
        </w:rPr>
        <w:t xml:space="preserve"> Program</w:t>
      </w:r>
    </w:p>
    <w:p w14:paraId="65BBB245" w14:textId="3A0FADC8" w:rsidR="00E94BF0" w:rsidRDefault="00E94BF0" w:rsidP="00E94BF0">
      <w:pPr>
        <w:spacing w:after="120"/>
        <w:jc w:val="center"/>
        <w:rPr>
          <w:rFonts w:ascii="Arial" w:hAnsi="Arial" w:cs="Arial"/>
          <w:i/>
          <w:sz w:val="20"/>
          <w:szCs w:val="20"/>
        </w:rPr>
      </w:pPr>
      <w:r w:rsidRPr="00A75D0D">
        <w:rPr>
          <w:rFonts w:ascii="Arial" w:hAnsi="Arial" w:cs="Arial"/>
          <w:i/>
          <w:sz w:val="20"/>
          <w:szCs w:val="20"/>
        </w:rPr>
        <w:t xml:space="preserve">Updated </w:t>
      </w:r>
      <w:r w:rsidR="001B1BFA">
        <w:rPr>
          <w:rFonts w:ascii="Arial" w:hAnsi="Arial" w:cs="Arial"/>
          <w:i/>
          <w:sz w:val="20"/>
          <w:szCs w:val="20"/>
        </w:rPr>
        <w:t>March</w:t>
      </w:r>
      <w:r w:rsidR="00681AF1">
        <w:rPr>
          <w:rFonts w:ascii="Arial" w:hAnsi="Arial" w:cs="Arial"/>
          <w:i/>
          <w:sz w:val="20"/>
          <w:szCs w:val="20"/>
        </w:rPr>
        <w:t xml:space="preserve"> 20</w:t>
      </w:r>
      <w:r w:rsidR="002A7203">
        <w:rPr>
          <w:rFonts w:ascii="Arial" w:hAnsi="Arial" w:cs="Arial"/>
          <w:i/>
          <w:sz w:val="20"/>
          <w:szCs w:val="20"/>
        </w:rPr>
        <w:t>2</w:t>
      </w:r>
      <w:r w:rsidR="001B1BFA">
        <w:rPr>
          <w:rFonts w:ascii="Arial" w:hAnsi="Arial" w:cs="Arial"/>
          <w:i/>
          <w:sz w:val="20"/>
          <w:szCs w:val="20"/>
        </w:rPr>
        <w:t>1</w:t>
      </w:r>
    </w:p>
    <w:p w14:paraId="2299854C" w14:textId="1E8FE168" w:rsidR="00943262" w:rsidRDefault="00943262" w:rsidP="00D66A78">
      <w:pPr>
        <w:spacing w:after="120" w:line="276" w:lineRule="auto"/>
        <w:rPr>
          <w:rFonts w:ascii="Arial" w:hAnsi="Arial" w:cs="Arial"/>
          <w:b/>
          <w:bCs/>
          <w:sz w:val="20"/>
          <w:szCs w:val="20"/>
        </w:rPr>
      </w:pPr>
    </w:p>
    <w:tbl>
      <w:tblPr>
        <w:tblStyle w:val="TableGrid"/>
        <w:tblW w:w="14697" w:type="dxa"/>
        <w:tblInd w:w="-122" w:type="dxa"/>
        <w:tblCellMar>
          <w:top w:w="29" w:type="dxa"/>
          <w:left w:w="58" w:type="dxa"/>
          <w:bottom w:w="29" w:type="dxa"/>
          <w:right w:w="58" w:type="dxa"/>
        </w:tblCellMar>
        <w:tblLook w:val="04A0" w:firstRow="1" w:lastRow="0" w:firstColumn="1" w:lastColumn="0" w:noHBand="0" w:noVBand="1"/>
      </w:tblPr>
      <w:tblGrid>
        <w:gridCol w:w="2097"/>
        <w:gridCol w:w="10350"/>
        <w:gridCol w:w="2250"/>
      </w:tblGrid>
      <w:tr w:rsidR="009C70AE" w:rsidRPr="00DC554E" w14:paraId="5A698F1A" w14:textId="77777777" w:rsidTr="008D0493">
        <w:trPr>
          <w:cantSplit/>
          <w:trHeight w:val="366"/>
          <w:tblHeader/>
        </w:trPr>
        <w:tc>
          <w:tcPr>
            <w:tcW w:w="2097" w:type="dxa"/>
            <w:shd w:val="clear" w:color="auto" w:fill="4F81BD" w:themeFill="accent1"/>
            <w:vAlign w:val="center"/>
          </w:tcPr>
          <w:p w14:paraId="0E36278A" w14:textId="45A8D94B" w:rsidR="009C70AE" w:rsidRPr="00DC554E" w:rsidRDefault="009C70AE" w:rsidP="00357ED7">
            <w:pPr>
              <w:jc w:val="center"/>
              <w:rPr>
                <w:rFonts w:ascii="Arial" w:hAnsi="Arial" w:cs="Arial"/>
                <w:color w:val="FFFFFF" w:themeColor="background1"/>
                <w:sz w:val="20"/>
                <w:szCs w:val="20"/>
              </w:rPr>
            </w:pPr>
          </w:p>
        </w:tc>
        <w:tc>
          <w:tcPr>
            <w:tcW w:w="10350" w:type="dxa"/>
            <w:shd w:val="clear" w:color="auto" w:fill="4F81BD" w:themeFill="accent1"/>
            <w:vAlign w:val="center"/>
          </w:tcPr>
          <w:p w14:paraId="4E9781D1" w14:textId="01B1B6C5" w:rsidR="009C70AE" w:rsidRPr="00DC554E" w:rsidRDefault="009C70AE" w:rsidP="00357ED7">
            <w:pPr>
              <w:jc w:val="center"/>
              <w:rPr>
                <w:rFonts w:ascii="Arial" w:hAnsi="Arial" w:cs="Arial"/>
                <w:color w:val="FFFFFF" w:themeColor="background1"/>
                <w:sz w:val="20"/>
                <w:szCs w:val="20"/>
              </w:rPr>
            </w:pPr>
            <w:r w:rsidRPr="00DC554E">
              <w:rPr>
                <w:rFonts w:ascii="Arial" w:hAnsi="Arial" w:cs="Arial"/>
                <w:b/>
                <w:color w:val="FFFFFF" w:themeColor="background1"/>
                <w:sz w:val="20"/>
                <w:szCs w:val="20"/>
              </w:rPr>
              <w:t>Description</w:t>
            </w:r>
          </w:p>
        </w:tc>
        <w:tc>
          <w:tcPr>
            <w:tcW w:w="2250" w:type="dxa"/>
            <w:shd w:val="clear" w:color="auto" w:fill="4F81BD" w:themeFill="accent1"/>
            <w:vAlign w:val="center"/>
          </w:tcPr>
          <w:p w14:paraId="255C20F8" w14:textId="3F8EDBCE" w:rsidR="009C70AE" w:rsidRPr="00DC554E" w:rsidRDefault="009C70AE" w:rsidP="00357ED7">
            <w:pPr>
              <w:jc w:val="center"/>
              <w:rPr>
                <w:rFonts w:ascii="Arial" w:hAnsi="Arial" w:cs="Arial"/>
                <w:color w:val="FFFFFF" w:themeColor="background1"/>
                <w:sz w:val="20"/>
                <w:szCs w:val="20"/>
              </w:rPr>
            </w:pPr>
            <w:r w:rsidRPr="00DC554E">
              <w:rPr>
                <w:rFonts w:ascii="Arial" w:hAnsi="Arial" w:cs="Arial"/>
                <w:b/>
                <w:color w:val="FFFFFF" w:themeColor="background1"/>
                <w:sz w:val="20"/>
                <w:szCs w:val="20"/>
              </w:rPr>
              <w:t>Status / Target Date</w:t>
            </w:r>
          </w:p>
        </w:tc>
      </w:tr>
      <w:tr w:rsidR="009C70AE" w:rsidRPr="00DC554E" w14:paraId="7F4990E8" w14:textId="77777777" w:rsidTr="00524849">
        <w:trPr>
          <w:cantSplit/>
          <w:trHeight w:val="384"/>
        </w:trPr>
        <w:tc>
          <w:tcPr>
            <w:tcW w:w="14697" w:type="dxa"/>
            <w:gridSpan w:val="3"/>
            <w:shd w:val="clear" w:color="auto" w:fill="DBE5F1" w:themeFill="accent1" w:themeFillTint="33"/>
            <w:vAlign w:val="center"/>
          </w:tcPr>
          <w:p w14:paraId="436E7349" w14:textId="744A03FE" w:rsidR="009C70AE" w:rsidRPr="00DC554E" w:rsidRDefault="009C70AE" w:rsidP="009C70AE">
            <w:pPr>
              <w:ind w:left="840"/>
              <w:rPr>
                <w:rFonts w:ascii="Arial" w:hAnsi="Arial" w:cs="Arial"/>
                <w:b/>
                <w:i/>
                <w:sz w:val="20"/>
                <w:szCs w:val="20"/>
              </w:rPr>
            </w:pPr>
            <w:r w:rsidRPr="00DC554E">
              <w:rPr>
                <w:rFonts w:ascii="Arial" w:hAnsi="Arial" w:cs="Arial"/>
                <w:b/>
                <w:i/>
                <w:sz w:val="20"/>
                <w:szCs w:val="20"/>
              </w:rPr>
              <w:t xml:space="preserve">Projects in Council Review </w:t>
            </w:r>
            <w:r w:rsidRPr="00DC554E">
              <w:rPr>
                <w:rFonts w:ascii="Arial" w:hAnsi="Arial" w:cs="Arial"/>
                <w:i/>
                <w:sz w:val="20"/>
                <w:szCs w:val="20"/>
              </w:rPr>
              <w:t>(Council ha</w:t>
            </w:r>
            <w:r w:rsidR="007037FD" w:rsidRPr="00DC554E">
              <w:rPr>
                <w:rFonts w:ascii="Arial" w:hAnsi="Arial" w:cs="Arial"/>
                <w:i/>
                <w:sz w:val="20"/>
                <w:szCs w:val="20"/>
              </w:rPr>
              <w:t>s</w:t>
            </w:r>
            <w:r w:rsidRPr="00DC554E">
              <w:rPr>
                <w:rFonts w:ascii="Arial" w:hAnsi="Arial" w:cs="Arial"/>
                <w:i/>
                <w:sz w:val="20"/>
                <w:szCs w:val="20"/>
              </w:rPr>
              <w:t xml:space="preserve"> tasked staff and scheduled review at a future meeting)</w:t>
            </w:r>
          </w:p>
        </w:tc>
      </w:tr>
      <w:tr w:rsidR="00D66A78" w:rsidRPr="00DC554E" w14:paraId="171AA821" w14:textId="77777777" w:rsidTr="008D0493">
        <w:trPr>
          <w:cantSplit/>
          <w:trHeight w:val="1296"/>
        </w:trPr>
        <w:tc>
          <w:tcPr>
            <w:tcW w:w="2097" w:type="dxa"/>
            <w:vAlign w:val="center"/>
          </w:tcPr>
          <w:p w14:paraId="40A005BB" w14:textId="1A6927F3" w:rsidR="00D66A78" w:rsidRDefault="00D66A78" w:rsidP="00D66A78">
            <w:pPr>
              <w:rPr>
                <w:rFonts w:ascii="Arial" w:hAnsi="Arial" w:cs="Arial"/>
                <w:sz w:val="20"/>
                <w:szCs w:val="20"/>
              </w:rPr>
            </w:pPr>
            <w:r>
              <w:rPr>
                <w:rFonts w:ascii="Arial" w:hAnsi="Arial" w:cs="Arial"/>
                <w:sz w:val="20"/>
                <w:szCs w:val="20"/>
              </w:rPr>
              <w:t>IFQ Access Opportunities</w:t>
            </w:r>
          </w:p>
        </w:tc>
        <w:tc>
          <w:tcPr>
            <w:tcW w:w="10350" w:type="dxa"/>
            <w:vAlign w:val="center"/>
          </w:tcPr>
          <w:p w14:paraId="5608A336" w14:textId="1BEA58CF" w:rsidR="00D66A78" w:rsidRDefault="00D66A78" w:rsidP="00D66A78">
            <w:pPr>
              <w:spacing w:after="240"/>
              <w:rPr>
                <w:rFonts w:ascii="Arial" w:hAnsi="Arial" w:cs="Arial"/>
                <w:sz w:val="20"/>
                <w:szCs w:val="20"/>
              </w:rPr>
            </w:pPr>
            <w:r>
              <w:rPr>
                <w:rFonts w:ascii="Arial" w:hAnsi="Arial" w:cs="Arial"/>
                <w:sz w:val="20"/>
                <w:szCs w:val="20"/>
              </w:rPr>
              <w:t>Consider design elements of a quota share “access pool” intended to promote entry into the halibut and sablefish IFQ fishery by entry-level participants. Entry-level is defined as a vessel owner/operator or crew who owns less than 5,000 lbs. of IFQ based on 2019 quota levels. Access pool QS would be held by a non-individual entity and could not be transferred by the eligible participants who qualify to fish the quota. The total amount of access pool QS would be capped at 1.0% of the total amount of quota for each species in each management area. QS could be placed in the access pool either by a one-time allocation or by withholding a percentage of QS that is transferred between existing QS holders until the cap is reached – or some combination of those two mechanisms. The paper will discuss the functionality and scope of the access pool’s impacts, identify Council decision points, and consider issues of consistency with MSA definitions of quota holding entities (e.g., Regional Fishery Associations).</w:t>
            </w:r>
          </w:p>
        </w:tc>
        <w:tc>
          <w:tcPr>
            <w:tcW w:w="2250" w:type="dxa"/>
            <w:vAlign w:val="center"/>
          </w:tcPr>
          <w:p w14:paraId="41196448" w14:textId="77777777" w:rsidR="00D66A78" w:rsidRDefault="00D66A78" w:rsidP="00D66A78">
            <w:pPr>
              <w:rPr>
                <w:rFonts w:ascii="Arial" w:hAnsi="Arial" w:cs="Arial"/>
                <w:iCs/>
                <w:sz w:val="20"/>
                <w:szCs w:val="20"/>
                <w:shd w:val="clear" w:color="auto" w:fill="FFFFFF"/>
              </w:rPr>
            </w:pPr>
            <w:r>
              <w:rPr>
                <w:rFonts w:ascii="Arial" w:hAnsi="Arial" w:cs="Arial"/>
                <w:iCs/>
                <w:sz w:val="20"/>
                <w:szCs w:val="20"/>
                <w:shd w:val="clear" w:color="auto" w:fill="FFFFFF"/>
              </w:rPr>
              <w:t>Expanded Discussion Paper</w:t>
            </w:r>
          </w:p>
          <w:p w14:paraId="246A2503" w14:textId="080C5062" w:rsidR="00D66A78" w:rsidRPr="008D0493" w:rsidRDefault="00D66A78" w:rsidP="00D66A78">
            <w:pPr>
              <w:rPr>
                <w:rFonts w:ascii="Arial" w:hAnsi="Arial" w:cs="Arial"/>
                <w:b/>
                <w:iCs/>
                <w:sz w:val="20"/>
                <w:szCs w:val="20"/>
                <w:shd w:val="clear" w:color="auto" w:fill="FFFFFF"/>
              </w:rPr>
            </w:pPr>
            <w:r>
              <w:rPr>
                <w:rFonts w:ascii="Arial" w:hAnsi="Arial" w:cs="Arial"/>
                <w:b/>
                <w:iCs/>
                <w:sz w:val="20"/>
                <w:szCs w:val="20"/>
                <w:shd w:val="clear" w:color="auto" w:fill="FFFFFF"/>
              </w:rPr>
              <w:t>April 2021</w:t>
            </w:r>
          </w:p>
        </w:tc>
      </w:tr>
      <w:tr w:rsidR="00D66A78" w:rsidRPr="00DC554E" w14:paraId="3245E6B1" w14:textId="77777777" w:rsidTr="008D0493">
        <w:trPr>
          <w:cantSplit/>
          <w:trHeight w:val="1296"/>
        </w:trPr>
        <w:tc>
          <w:tcPr>
            <w:tcW w:w="2097" w:type="dxa"/>
            <w:vAlign w:val="center"/>
          </w:tcPr>
          <w:p w14:paraId="09B03978" w14:textId="522CB33C" w:rsidR="00D66A78" w:rsidRPr="00DC554E" w:rsidRDefault="00D66A78" w:rsidP="00D66A78">
            <w:pPr>
              <w:rPr>
                <w:rFonts w:ascii="Arial" w:hAnsi="Arial" w:cs="Arial"/>
                <w:sz w:val="20"/>
                <w:szCs w:val="20"/>
              </w:rPr>
            </w:pPr>
            <w:r>
              <w:rPr>
                <w:rFonts w:ascii="Arial" w:hAnsi="Arial" w:cs="Arial"/>
                <w:sz w:val="20"/>
                <w:szCs w:val="20"/>
              </w:rPr>
              <w:t xml:space="preserve">GOA Sablefish </w:t>
            </w:r>
            <w:r w:rsidR="001B1BFA">
              <w:rPr>
                <w:rFonts w:ascii="Arial" w:hAnsi="Arial" w:cs="Arial"/>
                <w:sz w:val="20"/>
                <w:szCs w:val="20"/>
              </w:rPr>
              <w:t xml:space="preserve">IFQ </w:t>
            </w:r>
            <w:r>
              <w:rPr>
                <w:rFonts w:ascii="Arial" w:hAnsi="Arial" w:cs="Arial"/>
                <w:sz w:val="20"/>
                <w:szCs w:val="20"/>
              </w:rPr>
              <w:t>Longline Pot Fishery Review</w:t>
            </w:r>
          </w:p>
        </w:tc>
        <w:tc>
          <w:tcPr>
            <w:tcW w:w="10350" w:type="dxa"/>
            <w:vAlign w:val="center"/>
          </w:tcPr>
          <w:p w14:paraId="217DE85D" w14:textId="665BC13F" w:rsidR="00D66A78" w:rsidRPr="006F3459" w:rsidRDefault="00D66A78" w:rsidP="006F3459">
            <w:pPr>
              <w:spacing w:after="240"/>
              <w:rPr>
                <w:rFonts w:ascii="Arial" w:hAnsi="Arial" w:cs="Arial"/>
                <w:sz w:val="20"/>
                <w:szCs w:val="20"/>
              </w:rPr>
            </w:pPr>
            <w:r>
              <w:rPr>
                <w:rFonts w:ascii="Arial" w:hAnsi="Arial" w:cs="Arial"/>
                <w:sz w:val="20"/>
                <w:szCs w:val="20"/>
              </w:rPr>
              <w:t xml:space="preserve">The Council requested a review paper on the functioning of the GOA sablefish longline pot gear fishery to be conducted after three years of implementation. </w:t>
            </w:r>
            <w:r w:rsidR="006F1DB8">
              <w:rPr>
                <w:rFonts w:ascii="Arial" w:hAnsi="Arial" w:cs="Arial"/>
                <w:sz w:val="20"/>
                <w:szCs w:val="20"/>
              </w:rPr>
              <w:t>Due to scheduling changes in 2020, the timing of this review was delayed. T</w:t>
            </w:r>
            <w:r>
              <w:rPr>
                <w:rFonts w:ascii="Arial" w:hAnsi="Arial" w:cs="Arial"/>
                <w:sz w:val="20"/>
                <w:szCs w:val="20"/>
              </w:rPr>
              <w:t>he review will cover 2017 through 20</w:t>
            </w:r>
            <w:r w:rsidR="006F1DB8">
              <w:rPr>
                <w:rFonts w:ascii="Arial" w:hAnsi="Arial" w:cs="Arial"/>
                <w:sz w:val="20"/>
                <w:szCs w:val="20"/>
              </w:rPr>
              <w:t>20</w:t>
            </w:r>
            <w:r>
              <w:rPr>
                <w:rFonts w:ascii="Arial" w:hAnsi="Arial" w:cs="Arial"/>
                <w:sz w:val="20"/>
                <w:szCs w:val="20"/>
              </w:rPr>
              <w:t xml:space="preserve">. </w:t>
            </w:r>
            <w:r w:rsidR="006F1DB8">
              <w:rPr>
                <w:rFonts w:ascii="Arial" w:hAnsi="Arial" w:cs="Arial"/>
                <w:sz w:val="20"/>
                <w:szCs w:val="20"/>
              </w:rPr>
              <w:t>The review</w:t>
            </w:r>
            <w:r>
              <w:rPr>
                <w:rFonts w:ascii="Arial" w:hAnsi="Arial" w:cs="Arial"/>
                <w:sz w:val="20"/>
                <w:szCs w:val="20"/>
              </w:rPr>
              <w:t xml:space="preserve"> will include – but is not limited to – information about participation, catch, bycatch, observer coverage, gear loss, and gear conflict. Economic performance data will be included for the 2017 through 2019 fishing years based on what is available. Staff will also consider any available information that relates to the Council’s policy objectives, including mitigation of whale depredation, safety at sea, and cooperation among fishermen to avoid gear conflict.</w:t>
            </w:r>
          </w:p>
        </w:tc>
        <w:tc>
          <w:tcPr>
            <w:tcW w:w="2250" w:type="dxa"/>
            <w:vAlign w:val="center"/>
          </w:tcPr>
          <w:p w14:paraId="1294B8F3" w14:textId="0D00D02E" w:rsidR="00D66A78" w:rsidRPr="00BA3B4E" w:rsidRDefault="00D66A78" w:rsidP="00D66A78">
            <w:pPr>
              <w:rPr>
                <w:rFonts w:ascii="Arial" w:hAnsi="Arial" w:cs="Arial"/>
                <w:iCs/>
                <w:sz w:val="20"/>
                <w:szCs w:val="20"/>
                <w:shd w:val="clear" w:color="auto" w:fill="FFFFFF"/>
              </w:rPr>
            </w:pPr>
            <w:r>
              <w:rPr>
                <w:rFonts w:ascii="Arial" w:hAnsi="Arial" w:cs="Arial"/>
                <w:iCs/>
                <w:sz w:val="20"/>
                <w:szCs w:val="20"/>
                <w:shd w:val="clear" w:color="auto" w:fill="FFFFFF"/>
              </w:rPr>
              <w:t>Fishery Review</w:t>
            </w:r>
          </w:p>
          <w:p w14:paraId="3F0B5EF0" w14:textId="320F4E5E" w:rsidR="00D66A78" w:rsidRPr="00704666" w:rsidRDefault="00D66A78" w:rsidP="00D66A78">
            <w:pPr>
              <w:rPr>
                <w:rFonts w:ascii="Arial" w:hAnsi="Arial" w:cs="Arial"/>
                <w:bCs/>
                <w:iCs/>
                <w:sz w:val="20"/>
                <w:szCs w:val="20"/>
                <w:shd w:val="clear" w:color="auto" w:fill="FFFFFF"/>
              </w:rPr>
            </w:pPr>
            <w:r>
              <w:rPr>
                <w:rFonts w:ascii="Arial" w:hAnsi="Arial" w:cs="Arial"/>
                <w:b/>
                <w:iCs/>
                <w:sz w:val="20"/>
                <w:szCs w:val="20"/>
                <w:shd w:val="clear" w:color="auto" w:fill="FFFFFF"/>
              </w:rPr>
              <w:t>April 2021</w:t>
            </w:r>
          </w:p>
        </w:tc>
      </w:tr>
      <w:tr w:rsidR="00D66A78" w:rsidRPr="00DC554E" w14:paraId="773B140B" w14:textId="77777777" w:rsidTr="008D0493">
        <w:trPr>
          <w:cantSplit/>
          <w:trHeight w:val="1296"/>
        </w:trPr>
        <w:tc>
          <w:tcPr>
            <w:tcW w:w="2097" w:type="dxa"/>
            <w:vAlign w:val="center"/>
          </w:tcPr>
          <w:p w14:paraId="18ABD44A" w14:textId="2B145152" w:rsidR="00D66A78" w:rsidRDefault="00D66A78" w:rsidP="00D66A78">
            <w:pPr>
              <w:rPr>
                <w:rFonts w:ascii="Arial" w:hAnsi="Arial" w:cs="Arial"/>
                <w:sz w:val="20"/>
                <w:szCs w:val="20"/>
              </w:rPr>
            </w:pPr>
            <w:r>
              <w:rPr>
                <w:rFonts w:ascii="Arial" w:hAnsi="Arial" w:cs="Arial"/>
                <w:sz w:val="20"/>
                <w:szCs w:val="20"/>
              </w:rPr>
              <w:t>Recreational Quota Entity (RQE) Funding Mechanism</w:t>
            </w:r>
          </w:p>
        </w:tc>
        <w:tc>
          <w:tcPr>
            <w:tcW w:w="10350" w:type="dxa"/>
            <w:vAlign w:val="center"/>
          </w:tcPr>
          <w:p w14:paraId="12FBD076" w14:textId="139968A3" w:rsidR="00D66A78" w:rsidRPr="00D66A78" w:rsidRDefault="006F3459" w:rsidP="006F3459">
            <w:pPr>
              <w:spacing w:after="240"/>
              <w:rPr>
                <w:rFonts w:ascii="Arial" w:hAnsi="Arial" w:cs="Arial"/>
                <w:sz w:val="20"/>
                <w:szCs w:val="20"/>
                <w:highlight w:val="yellow"/>
              </w:rPr>
            </w:pPr>
            <w:r w:rsidRPr="006F3459">
              <w:rPr>
                <w:rFonts w:ascii="Arial" w:hAnsi="Arial" w:cs="Arial"/>
                <w:sz w:val="20"/>
                <w:szCs w:val="20"/>
              </w:rPr>
              <w:t xml:space="preserve">The Council </w:t>
            </w:r>
            <w:r>
              <w:rPr>
                <w:rFonts w:ascii="Arial" w:hAnsi="Arial" w:cs="Arial"/>
                <w:sz w:val="20"/>
                <w:szCs w:val="20"/>
              </w:rPr>
              <w:t xml:space="preserve">took action to </w:t>
            </w:r>
            <w:r w:rsidRPr="006F3459">
              <w:rPr>
                <w:rFonts w:ascii="Arial" w:hAnsi="Arial" w:cs="Arial"/>
                <w:sz w:val="20"/>
                <w:szCs w:val="20"/>
              </w:rPr>
              <w:t>allow the formation of a</w:t>
            </w:r>
            <w:r>
              <w:rPr>
                <w:rFonts w:ascii="Arial" w:hAnsi="Arial" w:cs="Arial"/>
                <w:sz w:val="20"/>
                <w:szCs w:val="20"/>
              </w:rPr>
              <w:t>n</w:t>
            </w:r>
            <w:r w:rsidRPr="006F3459">
              <w:rPr>
                <w:rFonts w:ascii="Arial" w:hAnsi="Arial" w:cs="Arial"/>
                <w:sz w:val="20"/>
                <w:szCs w:val="20"/>
              </w:rPr>
              <w:t xml:space="preserve"> RQE in December 2016. The RQE </w:t>
            </w:r>
            <w:proofErr w:type="gramStart"/>
            <w:r w:rsidRPr="006F3459">
              <w:rPr>
                <w:rFonts w:ascii="Arial" w:hAnsi="Arial" w:cs="Arial"/>
                <w:sz w:val="20"/>
                <w:szCs w:val="20"/>
              </w:rPr>
              <w:t>has the ability to</w:t>
            </w:r>
            <w:proofErr w:type="gramEnd"/>
            <w:r w:rsidRPr="006F3459">
              <w:rPr>
                <w:rFonts w:ascii="Arial" w:hAnsi="Arial" w:cs="Arial"/>
                <w:sz w:val="20"/>
                <w:szCs w:val="20"/>
              </w:rPr>
              <w:t xml:space="preserve"> purchase commercial halibut IFQ on behalf of charter halibut anglers in Area</w:t>
            </w:r>
            <w:r>
              <w:rPr>
                <w:rFonts w:ascii="Arial" w:hAnsi="Arial" w:cs="Arial"/>
                <w:sz w:val="20"/>
                <w:szCs w:val="20"/>
              </w:rPr>
              <w:t>s</w:t>
            </w:r>
            <w:r w:rsidRPr="006F3459">
              <w:rPr>
                <w:rFonts w:ascii="Arial" w:hAnsi="Arial" w:cs="Arial"/>
                <w:sz w:val="20"/>
                <w:szCs w:val="20"/>
              </w:rPr>
              <w:t xml:space="preserve"> 2C and 3A </w:t>
            </w:r>
            <w:r>
              <w:rPr>
                <w:rFonts w:ascii="Arial" w:hAnsi="Arial" w:cs="Arial"/>
                <w:sz w:val="20"/>
                <w:szCs w:val="20"/>
              </w:rPr>
              <w:t>to</w:t>
            </w:r>
            <w:r w:rsidRPr="006F3459">
              <w:rPr>
                <w:rFonts w:ascii="Arial" w:hAnsi="Arial" w:cs="Arial"/>
                <w:sz w:val="20"/>
                <w:szCs w:val="20"/>
              </w:rPr>
              <w:t xml:space="preserve"> augment the apportioned pounds of halibut for the charter catch limit </w:t>
            </w:r>
            <w:r>
              <w:rPr>
                <w:rFonts w:ascii="Arial" w:hAnsi="Arial" w:cs="Arial"/>
                <w:sz w:val="20"/>
                <w:szCs w:val="20"/>
              </w:rPr>
              <w:t>in</w:t>
            </w:r>
            <w:r w:rsidRPr="006F3459">
              <w:rPr>
                <w:rFonts w:ascii="Arial" w:hAnsi="Arial" w:cs="Arial"/>
                <w:sz w:val="20"/>
                <w:szCs w:val="20"/>
              </w:rPr>
              <w:t xml:space="preserve"> </w:t>
            </w:r>
            <w:r>
              <w:rPr>
                <w:rFonts w:ascii="Arial" w:hAnsi="Arial" w:cs="Arial"/>
                <w:sz w:val="20"/>
                <w:szCs w:val="20"/>
              </w:rPr>
              <w:t>an</w:t>
            </w:r>
            <w:r w:rsidRPr="006F3459">
              <w:rPr>
                <w:rFonts w:ascii="Arial" w:hAnsi="Arial" w:cs="Arial"/>
                <w:sz w:val="20"/>
                <w:szCs w:val="20"/>
              </w:rPr>
              <w:t xml:space="preserve"> area. Additional pounds could relax the annual charter management measures (e.g., bag limits and size restrictions) up to the allowance for the unguided recreational sector (two fish of any size). To fund the purchase of halibut quota, U.S. Congress is currently considering a bill </w:t>
            </w:r>
            <w:r>
              <w:rPr>
                <w:rFonts w:ascii="Arial" w:hAnsi="Arial" w:cs="Arial"/>
                <w:sz w:val="20"/>
                <w:szCs w:val="20"/>
              </w:rPr>
              <w:t>that</w:t>
            </w:r>
            <w:r w:rsidRPr="006F3459">
              <w:rPr>
                <w:rFonts w:ascii="Arial" w:hAnsi="Arial" w:cs="Arial"/>
                <w:sz w:val="20"/>
                <w:szCs w:val="20"/>
              </w:rPr>
              <w:t xml:space="preserve"> would allow a fee to be assessed on the charter halibut sector in the form of a charter halibut stamp. Th</w:t>
            </w:r>
            <w:r>
              <w:rPr>
                <w:rFonts w:ascii="Arial" w:hAnsi="Arial" w:cs="Arial"/>
                <w:sz w:val="20"/>
                <w:szCs w:val="20"/>
              </w:rPr>
              <w:t>e</w:t>
            </w:r>
            <w:r w:rsidRPr="006F3459">
              <w:rPr>
                <w:rFonts w:ascii="Arial" w:hAnsi="Arial" w:cs="Arial"/>
                <w:sz w:val="20"/>
                <w:szCs w:val="20"/>
              </w:rPr>
              <w:t xml:space="preserve"> discussion paper will investigate how a halibut stamp </w:t>
            </w:r>
            <w:r>
              <w:rPr>
                <w:rFonts w:ascii="Arial" w:hAnsi="Arial" w:cs="Arial"/>
                <w:sz w:val="20"/>
                <w:szCs w:val="20"/>
              </w:rPr>
              <w:t>c</w:t>
            </w:r>
            <w:r w:rsidRPr="006F3459">
              <w:rPr>
                <w:rFonts w:ascii="Arial" w:hAnsi="Arial" w:cs="Arial"/>
                <w:sz w:val="20"/>
                <w:szCs w:val="20"/>
              </w:rPr>
              <w:t xml:space="preserve">ould </w:t>
            </w:r>
            <w:r>
              <w:rPr>
                <w:rFonts w:ascii="Arial" w:hAnsi="Arial" w:cs="Arial"/>
                <w:sz w:val="20"/>
                <w:szCs w:val="20"/>
              </w:rPr>
              <w:t xml:space="preserve">function – </w:t>
            </w:r>
            <w:r w:rsidRPr="006F3459">
              <w:rPr>
                <w:rFonts w:ascii="Arial" w:hAnsi="Arial" w:cs="Arial"/>
                <w:sz w:val="20"/>
                <w:szCs w:val="20"/>
              </w:rPr>
              <w:t>i.e.</w:t>
            </w:r>
            <w:r>
              <w:rPr>
                <w:rFonts w:ascii="Arial" w:hAnsi="Arial" w:cs="Arial"/>
                <w:sz w:val="20"/>
                <w:szCs w:val="20"/>
              </w:rPr>
              <w:t>,</w:t>
            </w:r>
            <w:r w:rsidRPr="006F3459">
              <w:rPr>
                <w:rFonts w:ascii="Arial" w:hAnsi="Arial" w:cs="Arial"/>
                <w:sz w:val="20"/>
                <w:szCs w:val="20"/>
              </w:rPr>
              <w:t xml:space="preserve"> design, monitoring and enforcement</w:t>
            </w:r>
            <w:r>
              <w:rPr>
                <w:rFonts w:ascii="Arial" w:hAnsi="Arial" w:cs="Arial"/>
                <w:sz w:val="20"/>
                <w:szCs w:val="20"/>
              </w:rPr>
              <w:t>,</w:t>
            </w:r>
            <w:r w:rsidRPr="006F3459">
              <w:rPr>
                <w:rFonts w:ascii="Arial" w:hAnsi="Arial" w:cs="Arial"/>
                <w:sz w:val="20"/>
                <w:szCs w:val="20"/>
              </w:rPr>
              <w:t xml:space="preserve"> and </w:t>
            </w:r>
            <w:r>
              <w:rPr>
                <w:rFonts w:ascii="Arial" w:hAnsi="Arial" w:cs="Arial"/>
                <w:sz w:val="20"/>
                <w:szCs w:val="20"/>
              </w:rPr>
              <w:t xml:space="preserve">the </w:t>
            </w:r>
            <w:r w:rsidRPr="006F3459">
              <w:rPr>
                <w:rFonts w:ascii="Arial" w:hAnsi="Arial" w:cs="Arial"/>
                <w:sz w:val="20"/>
                <w:szCs w:val="20"/>
              </w:rPr>
              <w:t>potential revenue that could be generated.</w:t>
            </w:r>
          </w:p>
        </w:tc>
        <w:tc>
          <w:tcPr>
            <w:tcW w:w="2250" w:type="dxa"/>
            <w:vAlign w:val="center"/>
          </w:tcPr>
          <w:p w14:paraId="4252589C" w14:textId="77777777" w:rsidR="00D66A78" w:rsidRDefault="00D66A78" w:rsidP="00D66A78">
            <w:pPr>
              <w:rPr>
                <w:rFonts w:ascii="Arial" w:hAnsi="Arial" w:cs="Arial"/>
                <w:iCs/>
                <w:sz w:val="20"/>
                <w:szCs w:val="20"/>
                <w:shd w:val="clear" w:color="auto" w:fill="FFFFFF"/>
              </w:rPr>
            </w:pPr>
            <w:r>
              <w:rPr>
                <w:rFonts w:ascii="Arial" w:hAnsi="Arial" w:cs="Arial"/>
                <w:iCs/>
                <w:sz w:val="20"/>
                <w:szCs w:val="20"/>
                <w:shd w:val="clear" w:color="auto" w:fill="FFFFFF"/>
              </w:rPr>
              <w:t>Discussion Paper</w:t>
            </w:r>
          </w:p>
          <w:p w14:paraId="6178ED79" w14:textId="496E1106" w:rsidR="00D66A78" w:rsidRPr="00D66A78" w:rsidRDefault="00D66A78" w:rsidP="00D66A78">
            <w:pPr>
              <w:rPr>
                <w:rFonts w:ascii="Arial" w:hAnsi="Arial" w:cs="Arial"/>
                <w:b/>
                <w:bCs/>
                <w:iCs/>
                <w:sz w:val="20"/>
                <w:szCs w:val="20"/>
                <w:shd w:val="clear" w:color="auto" w:fill="FFFFFF"/>
              </w:rPr>
            </w:pPr>
            <w:r>
              <w:rPr>
                <w:rFonts w:ascii="Arial" w:hAnsi="Arial" w:cs="Arial"/>
                <w:b/>
                <w:bCs/>
                <w:iCs/>
                <w:sz w:val="20"/>
                <w:szCs w:val="20"/>
                <w:shd w:val="clear" w:color="auto" w:fill="FFFFFF"/>
              </w:rPr>
              <w:t>April 2021</w:t>
            </w:r>
          </w:p>
        </w:tc>
      </w:tr>
      <w:tr w:rsidR="001B1BFA" w:rsidRPr="00DC554E" w14:paraId="68737367" w14:textId="77777777" w:rsidTr="001B1BFA">
        <w:trPr>
          <w:cantSplit/>
          <w:trHeight w:val="1296"/>
        </w:trPr>
        <w:tc>
          <w:tcPr>
            <w:tcW w:w="2097" w:type="dxa"/>
            <w:shd w:val="clear" w:color="auto" w:fill="F2F2F2" w:themeFill="background1" w:themeFillShade="F2"/>
            <w:vAlign w:val="center"/>
          </w:tcPr>
          <w:p w14:paraId="2FEAFEAE" w14:textId="77777777" w:rsidR="001B1BFA" w:rsidRPr="00021D14" w:rsidRDefault="001B1BFA" w:rsidP="001B1BFA">
            <w:pPr>
              <w:rPr>
                <w:rFonts w:ascii="Arial" w:hAnsi="Arial" w:cs="Arial"/>
                <w:sz w:val="20"/>
                <w:szCs w:val="20"/>
              </w:rPr>
            </w:pPr>
            <w:r>
              <w:rPr>
                <w:rFonts w:ascii="Arial" w:hAnsi="Arial" w:cs="Arial"/>
                <w:sz w:val="20"/>
                <w:szCs w:val="20"/>
              </w:rPr>
              <w:lastRenderedPageBreak/>
              <w:t>Small Sablefish Release</w:t>
            </w:r>
          </w:p>
          <w:p w14:paraId="54F0C0A6" w14:textId="77777777" w:rsidR="001B1BFA" w:rsidRDefault="001B1BFA" w:rsidP="001B1BFA">
            <w:pPr>
              <w:rPr>
                <w:rFonts w:ascii="Arial" w:hAnsi="Arial" w:cs="Arial"/>
                <w:sz w:val="20"/>
                <w:szCs w:val="20"/>
              </w:rPr>
            </w:pPr>
          </w:p>
        </w:tc>
        <w:tc>
          <w:tcPr>
            <w:tcW w:w="10350" w:type="dxa"/>
            <w:shd w:val="clear" w:color="auto" w:fill="F2F2F2" w:themeFill="background1" w:themeFillShade="F2"/>
            <w:vAlign w:val="center"/>
          </w:tcPr>
          <w:p w14:paraId="331B8E60" w14:textId="65392B1B" w:rsidR="001B1BFA" w:rsidRPr="006F3459" w:rsidRDefault="001B1BFA" w:rsidP="001B1BFA">
            <w:pPr>
              <w:spacing w:after="240"/>
              <w:rPr>
                <w:rFonts w:ascii="Arial" w:hAnsi="Arial" w:cs="Arial"/>
                <w:sz w:val="20"/>
                <w:szCs w:val="20"/>
              </w:rPr>
            </w:pPr>
            <w:r>
              <w:rPr>
                <w:rFonts w:ascii="Arial" w:hAnsi="Arial" w:cs="Arial"/>
                <w:sz w:val="20"/>
                <w:szCs w:val="20"/>
              </w:rPr>
              <w:t>A</w:t>
            </w:r>
            <w:r w:rsidRPr="00343E59">
              <w:rPr>
                <w:rFonts w:ascii="Arial" w:hAnsi="Arial" w:cs="Arial"/>
                <w:sz w:val="20"/>
                <w:szCs w:val="20"/>
              </w:rPr>
              <w:t xml:space="preserve">nalysis of alternatives to allow discarding </w:t>
            </w:r>
            <w:r>
              <w:rPr>
                <w:rFonts w:ascii="Arial" w:hAnsi="Arial" w:cs="Arial"/>
                <w:sz w:val="20"/>
                <w:szCs w:val="20"/>
              </w:rPr>
              <w:t xml:space="preserve">(careful release) </w:t>
            </w:r>
            <w:r w:rsidRPr="00343E59">
              <w:rPr>
                <w:rFonts w:ascii="Arial" w:hAnsi="Arial" w:cs="Arial"/>
                <w:sz w:val="20"/>
                <w:szCs w:val="20"/>
              </w:rPr>
              <w:t>in the IFQ sablefish fishery</w:t>
            </w:r>
            <w:r>
              <w:rPr>
                <w:rFonts w:ascii="Arial" w:hAnsi="Arial" w:cs="Arial"/>
                <w:sz w:val="20"/>
                <w:szCs w:val="20"/>
              </w:rPr>
              <w:t>.</w:t>
            </w:r>
            <w:r w:rsidRPr="00343E59">
              <w:rPr>
                <w:rFonts w:ascii="Arial" w:hAnsi="Arial" w:cs="Arial"/>
                <w:sz w:val="20"/>
                <w:szCs w:val="20"/>
              </w:rPr>
              <w:t xml:space="preserve"> </w:t>
            </w:r>
            <w:r>
              <w:rPr>
                <w:rFonts w:ascii="Arial" w:hAnsi="Arial" w:cs="Arial"/>
                <w:sz w:val="20"/>
                <w:szCs w:val="20"/>
              </w:rPr>
              <w:t xml:space="preserve">The Council is motivated by </w:t>
            </w:r>
            <w:r w:rsidRPr="00343E59">
              <w:rPr>
                <w:rFonts w:ascii="Arial" w:hAnsi="Arial" w:cs="Arial"/>
                <w:sz w:val="20"/>
                <w:szCs w:val="20"/>
              </w:rPr>
              <w:t>low commercial value and high survival rate</w:t>
            </w:r>
            <w:r>
              <w:rPr>
                <w:rFonts w:ascii="Arial" w:hAnsi="Arial" w:cs="Arial"/>
                <w:sz w:val="20"/>
                <w:szCs w:val="20"/>
              </w:rPr>
              <w:t>s</w:t>
            </w:r>
            <w:r w:rsidRPr="00343E59">
              <w:rPr>
                <w:rFonts w:ascii="Arial" w:hAnsi="Arial" w:cs="Arial"/>
                <w:sz w:val="20"/>
                <w:szCs w:val="20"/>
              </w:rPr>
              <w:t xml:space="preserve"> </w:t>
            </w:r>
            <w:r>
              <w:rPr>
                <w:rFonts w:ascii="Arial" w:hAnsi="Arial" w:cs="Arial"/>
                <w:sz w:val="20"/>
                <w:szCs w:val="20"/>
              </w:rPr>
              <w:t>for</w:t>
            </w:r>
            <w:r w:rsidRPr="00343E59">
              <w:rPr>
                <w:rFonts w:ascii="Arial" w:hAnsi="Arial" w:cs="Arial"/>
                <w:sz w:val="20"/>
                <w:szCs w:val="20"/>
              </w:rPr>
              <w:t xml:space="preserve"> small sablefish, </w:t>
            </w:r>
            <w:r>
              <w:rPr>
                <w:rFonts w:ascii="Arial" w:hAnsi="Arial" w:cs="Arial"/>
                <w:sz w:val="20"/>
                <w:szCs w:val="20"/>
              </w:rPr>
              <w:t>with potential for</w:t>
            </w:r>
            <w:r w:rsidRPr="00343E59">
              <w:rPr>
                <w:rFonts w:ascii="Arial" w:hAnsi="Arial" w:cs="Arial"/>
                <w:sz w:val="20"/>
                <w:szCs w:val="20"/>
              </w:rPr>
              <w:t xml:space="preserve"> positive </w:t>
            </w:r>
            <w:r>
              <w:rPr>
                <w:rFonts w:ascii="Arial" w:hAnsi="Arial" w:cs="Arial"/>
                <w:sz w:val="20"/>
                <w:szCs w:val="20"/>
              </w:rPr>
              <w:t>e</w:t>
            </w:r>
            <w:r w:rsidRPr="00343E59">
              <w:rPr>
                <w:rFonts w:ascii="Arial" w:hAnsi="Arial" w:cs="Arial"/>
                <w:sz w:val="20"/>
                <w:szCs w:val="20"/>
              </w:rPr>
              <w:t>ffect</w:t>
            </w:r>
            <w:r>
              <w:rPr>
                <w:rFonts w:ascii="Arial" w:hAnsi="Arial" w:cs="Arial"/>
                <w:sz w:val="20"/>
                <w:szCs w:val="20"/>
              </w:rPr>
              <w:t>s on</w:t>
            </w:r>
            <w:r w:rsidRPr="00343E59">
              <w:rPr>
                <w:rFonts w:ascii="Arial" w:hAnsi="Arial" w:cs="Arial"/>
                <w:sz w:val="20"/>
                <w:szCs w:val="20"/>
              </w:rPr>
              <w:t xml:space="preserve"> stock biomass and future value. Alternatives include voluntary release of sablefish and a range of DMRs for pot and hook</w:t>
            </w:r>
            <w:r>
              <w:rPr>
                <w:rFonts w:ascii="Arial" w:hAnsi="Arial" w:cs="Arial"/>
                <w:sz w:val="20"/>
                <w:szCs w:val="20"/>
              </w:rPr>
              <w:t>-</w:t>
            </w:r>
            <w:r w:rsidRPr="00343E59">
              <w:rPr>
                <w:rFonts w:ascii="Arial" w:hAnsi="Arial" w:cs="Arial"/>
                <w:sz w:val="20"/>
                <w:szCs w:val="20"/>
              </w:rPr>
              <w:t>and</w:t>
            </w:r>
            <w:r>
              <w:rPr>
                <w:rFonts w:ascii="Arial" w:hAnsi="Arial" w:cs="Arial"/>
                <w:sz w:val="20"/>
                <w:szCs w:val="20"/>
              </w:rPr>
              <w:t>-</w:t>
            </w:r>
            <w:r w:rsidRPr="00343E59">
              <w:rPr>
                <w:rFonts w:ascii="Arial" w:hAnsi="Arial" w:cs="Arial"/>
                <w:sz w:val="20"/>
                <w:szCs w:val="20"/>
              </w:rPr>
              <w:t xml:space="preserve">line gear. Voluntary </w:t>
            </w:r>
            <w:r>
              <w:rPr>
                <w:rFonts w:ascii="Arial" w:hAnsi="Arial" w:cs="Arial"/>
                <w:sz w:val="20"/>
                <w:szCs w:val="20"/>
              </w:rPr>
              <w:t>release</w:t>
            </w:r>
            <w:r w:rsidRPr="00343E59">
              <w:rPr>
                <w:rFonts w:ascii="Arial" w:hAnsi="Arial" w:cs="Arial"/>
                <w:sz w:val="20"/>
                <w:szCs w:val="20"/>
              </w:rPr>
              <w:t xml:space="preserve"> </w:t>
            </w:r>
            <w:r>
              <w:rPr>
                <w:rFonts w:ascii="Arial" w:hAnsi="Arial" w:cs="Arial"/>
                <w:sz w:val="20"/>
                <w:szCs w:val="20"/>
              </w:rPr>
              <w:t>i</w:t>
            </w:r>
            <w:r w:rsidRPr="00343E59">
              <w:rPr>
                <w:rFonts w:ascii="Arial" w:hAnsi="Arial" w:cs="Arial"/>
                <w:sz w:val="20"/>
                <w:szCs w:val="20"/>
              </w:rPr>
              <w:t>s preferred over a size limit because it maximiz</w:t>
            </w:r>
            <w:r>
              <w:rPr>
                <w:rFonts w:ascii="Arial" w:hAnsi="Arial" w:cs="Arial"/>
                <w:sz w:val="20"/>
                <w:szCs w:val="20"/>
              </w:rPr>
              <w:t>es</w:t>
            </w:r>
            <w:r w:rsidRPr="00343E59">
              <w:rPr>
                <w:rFonts w:ascii="Arial" w:hAnsi="Arial" w:cs="Arial"/>
                <w:sz w:val="20"/>
                <w:szCs w:val="20"/>
              </w:rPr>
              <w:t xml:space="preserve"> flexibility. </w:t>
            </w:r>
            <w:r>
              <w:rPr>
                <w:rFonts w:ascii="Arial" w:hAnsi="Arial" w:cs="Arial"/>
                <w:sz w:val="20"/>
                <w:szCs w:val="20"/>
              </w:rPr>
              <w:t>There are</w:t>
            </w:r>
            <w:r w:rsidRPr="00343E59">
              <w:rPr>
                <w:rFonts w:ascii="Arial" w:hAnsi="Arial" w:cs="Arial"/>
                <w:sz w:val="20"/>
                <w:szCs w:val="20"/>
              </w:rPr>
              <w:t xml:space="preserve"> two options </w:t>
            </w:r>
            <w:r>
              <w:rPr>
                <w:rFonts w:ascii="Arial" w:hAnsi="Arial" w:cs="Arial"/>
                <w:sz w:val="20"/>
                <w:szCs w:val="20"/>
              </w:rPr>
              <w:t>to address</w:t>
            </w:r>
            <w:r w:rsidRPr="00343E59">
              <w:rPr>
                <w:rFonts w:ascii="Arial" w:hAnsi="Arial" w:cs="Arial"/>
                <w:sz w:val="20"/>
                <w:szCs w:val="20"/>
              </w:rPr>
              <w:t xml:space="preserve"> catch accounting including</w:t>
            </w:r>
            <w:r>
              <w:rPr>
                <w:rFonts w:ascii="Arial" w:hAnsi="Arial" w:cs="Arial"/>
                <w:sz w:val="20"/>
                <w:szCs w:val="20"/>
              </w:rPr>
              <w:t>:</w:t>
            </w:r>
            <w:r w:rsidRPr="00343E59">
              <w:rPr>
                <w:rFonts w:ascii="Arial" w:hAnsi="Arial" w:cs="Arial"/>
                <w:sz w:val="20"/>
                <w:szCs w:val="20"/>
              </w:rPr>
              <w:t xml:space="preserve"> observer-based and survey-based discard estimation. Total discard mortalities would be estimated in the stock assessment. The analysis will explore how voluntary </w:t>
            </w:r>
            <w:r>
              <w:rPr>
                <w:rFonts w:ascii="Arial" w:hAnsi="Arial" w:cs="Arial"/>
                <w:sz w:val="20"/>
                <w:szCs w:val="20"/>
              </w:rPr>
              <w:t>release</w:t>
            </w:r>
            <w:r w:rsidRPr="00343E59">
              <w:rPr>
                <w:rFonts w:ascii="Arial" w:hAnsi="Arial" w:cs="Arial"/>
                <w:sz w:val="20"/>
                <w:szCs w:val="20"/>
              </w:rPr>
              <w:t xml:space="preserve"> would be accounted for in stock assessments and in setting catch limits. Monitoring and enforcement provisions that could improve discard estimation will also be evaluated. The accounting system for the IFQ fishery would need to be overhauled since IFQ discards </w:t>
            </w:r>
            <w:r>
              <w:rPr>
                <w:rFonts w:ascii="Arial" w:hAnsi="Arial" w:cs="Arial"/>
                <w:sz w:val="20"/>
                <w:szCs w:val="20"/>
              </w:rPr>
              <w:t>c</w:t>
            </w:r>
            <w:r w:rsidRPr="00343E59">
              <w:rPr>
                <w:rFonts w:ascii="Arial" w:hAnsi="Arial" w:cs="Arial"/>
                <w:sz w:val="20"/>
                <w:szCs w:val="20"/>
              </w:rPr>
              <w:t>ould reduce allocations to trawl and IFQ vessels. Because IFQ is assigned to an individual and discards m</w:t>
            </w:r>
            <w:r>
              <w:rPr>
                <w:rFonts w:ascii="Arial" w:hAnsi="Arial" w:cs="Arial"/>
                <w:sz w:val="20"/>
                <w:szCs w:val="20"/>
              </w:rPr>
              <w:t>ight</w:t>
            </w:r>
            <w:r w:rsidRPr="00343E59">
              <w:rPr>
                <w:rFonts w:ascii="Arial" w:hAnsi="Arial" w:cs="Arial"/>
                <w:sz w:val="20"/>
                <w:szCs w:val="20"/>
              </w:rPr>
              <w:t xml:space="preserve"> be attributed based on observer program estimates, individual liability may need to be addressed.</w:t>
            </w:r>
          </w:p>
        </w:tc>
        <w:tc>
          <w:tcPr>
            <w:tcW w:w="2250" w:type="dxa"/>
            <w:shd w:val="clear" w:color="auto" w:fill="F2F2F2" w:themeFill="background1" w:themeFillShade="F2"/>
            <w:vAlign w:val="center"/>
          </w:tcPr>
          <w:p w14:paraId="5D37991A" w14:textId="77777777" w:rsidR="001B1BFA" w:rsidRDefault="001B1BFA" w:rsidP="001B1BFA">
            <w:pPr>
              <w:rPr>
                <w:rFonts w:ascii="Arial" w:hAnsi="Arial" w:cs="Arial"/>
                <w:iCs/>
                <w:sz w:val="20"/>
                <w:szCs w:val="20"/>
                <w:shd w:val="clear" w:color="auto" w:fill="FFFFFF"/>
              </w:rPr>
            </w:pPr>
            <w:r>
              <w:rPr>
                <w:rFonts w:ascii="Arial" w:hAnsi="Arial" w:cs="Arial"/>
                <w:iCs/>
                <w:sz w:val="20"/>
                <w:szCs w:val="20"/>
                <w:shd w:val="clear" w:color="auto" w:fill="FFFFFF"/>
              </w:rPr>
              <w:t>Initial Review</w:t>
            </w:r>
          </w:p>
          <w:p w14:paraId="448E6CC5" w14:textId="77777777" w:rsidR="001B1BFA" w:rsidRDefault="001B1BFA" w:rsidP="001B1BFA">
            <w:pPr>
              <w:rPr>
                <w:rFonts w:ascii="Arial" w:hAnsi="Arial" w:cs="Arial"/>
                <w:b/>
                <w:iCs/>
                <w:sz w:val="20"/>
                <w:szCs w:val="20"/>
                <w:shd w:val="clear" w:color="auto" w:fill="FFFFFF"/>
              </w:rPr>
            </w:pPr>
            <w:r>
              <w:rPr>
                <w:rFonts w:ascii="Arial" w:hAnsi="Arial" w:cs="Arial"/>
                <w:b/>
                <w:iCs/>
                <w:sz w:val="20"/>
                <w:szCs w:val="20"/>
                <w:shd w:val="clear" w:color="auto" w:fill="FFFFFF"/>
              </w:rPr>
              <w:t>February 2021</w:t>
            </w:r>
          </w:p>
          <w:p w14:paraId="4331CC32" w14:textId="33CFC6EE" w:rsidR="001B1BFA" w:rsidRPr="001B1BFA" w:rsidRDefault="001B1BFA" w:rsidP="001B1BFA">
            <w:pPr>
              <w:rPr>
                <w:rFonts w:ascii="Arial" w:hAnsi="Arial" w:cs="Arial"/>
                <w:i/>
                <w:sz w:val="20"/>
                <w:szCs w:val="20"/>
                <w:shd w:val="clear" w:color="auto" w:fill="FFFFFF"/>
              </w:rPr>
            </w:pPr>
            <w:r w:rsidRPr="001B1BFA">
              <w:rPr>
                <w:rFonts w:ascii="Arial" w:hAnsi="Arial" w:cs="Arial"/>
                <w:iCs/>
                <w:sz w:val="20"/>
                <w:szCs w:val="20"/>
                <w:shd w:val="clear" w:color="auto" w:fill="FFFFFF"/>
              </w:rPr>
              <w:t>(</w:t>
            </w:r>
            <w:r w:rsidRPr="001B1BFA">
              <w:rPr>
                <w:rFonts w:ascii="Arial" w:hAnsi="Arial" w:cs="Arial"/>
                <w:i/>
                <w:sz w:val="20"/>
                <w:szCs w:val="20"/>
                <w:shd w:val="clear" w:color="auto" w:fill="FFFFFF"/>
              </w:rPr>
              <w:t xml:space="preserve">referred to IFQ </w:t>
            </w:r>
            <w:proofErr w:type="spellStart"/>
            <w:r w:rsidRPr="001B1BFA">
              <w:rPr>
                <w:rFonts w:ascii="Arial" w:hAnsi="Arial" w:cs="Arial"/>
                <w:i/>
                <w:sz w:val="20"/>
                <w:szCs w:val="20"/>
                <w:shd w:val="clear" w:color="auto" w:fill="FFFFFF"/>
              </w:rPr>
              <w:t>Cmte</w:t>
            </w:r>
            <w:proofErr w:type="spellEnd"/>
            <w:r w:rsidRPr="001B1BFA">
              <w:rPr>
                <w:rFonts w:ascii="Arial" w:hAnsi="Arial" w:cs="Arial"/>
                <w:i/>
                <w:sz w:val="20"/>
                <w:szCs w:val="20"/>
                <w:shd w:val="clear" w:color="auto" w:fill="FFFFFF"/>
              </w:rPr>
              <w:t>. for consideration of future action)</w:t>
            </w:r>
          </w:p>
        </w:tc>
      </w:tr>
    </w:tbl>
    <w:p w14:paraId="47A38FBC" w14:textId="2AFEF573" w:rsidR="00943262" w:rsidRDefault="00943262" w:rsidP="00EF05AC">
      <w:pPr>
        <w:rPr>
          <w:rFonts w:ascii="Arial" w:hAnsi="Arial" w:cs="Arial"/>
          <w:sz w:val="20"/>
          <w:szCs w:val="20"/>
        </w:rPr>
      </w:pPr>
    </w:p>
    <w:tbl>
      <w:tblPr>
        <w:tblStyle w:val="TableGrid"/>
        <w:tblW w:w="14670" w:type="dxa"/>
        <w:tblInd w:w="-95" w:type="dxa"/>
        <w:tblLook w:val="04A0" w:firstRow="1" w:lastRow="0" w:firstColumn="1" w:lastColumn="0" w:noHBand="0" w:noVBand="1"/>
      </w:tblPr>
      <w:tblGrid>
        <w:gridCol w:w="2610"/>
        <w:gridCol w:w="12060"/>
      </w:tblGrid>
      <w:tr w:rsidR="007037FD" w:rsidRPr="00DC554E" w14:paraId="57D84ED5" w14:textId="77777777" w:rsidTr="00943262">
        <w:trPr>
          <w:trHeight w:val="378"/>
          <w:tblHeader/>
        </w:trPr>
        <w:tc>
          <w:tcPr>
            <w:tcW w:w="2610" w:type="dxa"/>
            <w:shd w:val="clear" w:color="auto" w:fill="4F81BD" w:themeFill="accent1"/>
            <w:vAlign w:val="center"/>
          </w:tcPr>
          <w:p w14:paraId="1D12D248" w14:textId="79A4DC92" w:rsidR="007037FD" w:rsidRPr="00DC554E" w:rsidRDefault="007037FD" w:rsidP="007779A5">
            <w:pPr>
              <w:jc w:val="center"/>
              <w:rPr>
                <w:rFonts w:ascii="Arial" w:hAnsi="Arial" w:cs="Arial"/>
                <w:b/>
                <w:color w:val="FFFFFF" w:themeColor="background1"/>
                <w:sz w:val="20"/>
                <w:szCs w:val="20"/>
              </w:rPr>
            </w:pPr>
          </w:p>
        </w:tc>
        <w:tc>
          <w:tcPr>
            <w:tcW w:w="12060" w:type="dxa"/>
            <w:shd w:val="clear" w:color="auto" w:fill="4F81BD" w:themeFill="accent1"/>
            <w:vAlign w:val="center"/>
          </w:tcPr>
          <w:p w14:paraId="7619D39E" w14:textId="20ECE8C1" w:rsidR="007037FD" w:rsidRPr="00DC554E" w:rsidRDefault="007037FD" w:rsidP="007779A5">
            <w:pPr>
              <w:jc w:val="center"/>
              <w:rPr>
                <w:rFonts w:ascii="Arial" w:hAnsi="Arial" w:cs="Arial"/>
                <w:b/>
                <w:color w:val="FFFFFF" w:themeColor="background1"/>
                <w:sz w:val="20"/>
                <w:szCs w:val="20"/>
              </w:rPr>
            </w:pPr>
            <w:r w:rsidRPr="00DC554E">
              <w:rPr>
                <w:rFonts w:ascii="Arial" w:hAnsi="Arial" w:cs="Arial"/>
                <w:b/>
                <w:color w:val="FFFFFF" w:themeColor="background1"/>
                <w:sz w:val="20"/>
                <w:szCs w:val="20"/>
              </w:rPr>
              <w:t>Description</w:t>
            </w:r>
          </w:p>
        </w:tc>
      </w:tr>
      <w:tr w:rsidR="007037FD" w:rsidRPr="00DC554E" w14:paraId="3F1DF0DF" w14:textId="77777777" w:rsidTr="00943262">
        <w:trPr>
          <w:trHeight w:val="378"/>
          <w:tblHeader/>
        </w:trPr>
        <w:tc>
          <w:tcPr>
            <w:tcW w:w="14670" w:type="dxa"/>
            <w:gridSpan w:val="2"/>
            <w:shd w:val="clear" w:color="auto" w:fill="DBE5F1" w:themeFill="accent1" w:themeFillTint="33"/>
            <w:vAlign w:val="center"/>
          </w:tcPr>
          <w:p w14:paraId="0D598A5E" w14:textId="0C9F4297" w:rsidR="007037FD" w:rsidRPr="00DC554E" w:rsidRDefault="007037FD" w:rsidP="007037FD">
            <w:pPr>
              <w:ind w:left="720"/>
              <w:rPr>
                <w:rFonts w:ascii="Arial" w:hAnsi="Arial" w:cs="Arial"/>
                <w:b/>
                <w:color w:val="FFFFFF" w:themeColor="background1"/>
                <w:sz w:val="20"/>
                <w:szCs w:val="20"/>
              </w:rPr>
            </w:pPr>
            <w:r w:rsidRPr="00DC554E">
              <w:rPr>
                <w:rFonts w:ascii="Arial" w:hAnsi="Arial" w:cs="Arial"/>
                <w:b/>
                <w:i/>
                <w:sz w:val="20"/>
                <w:szCs w:val="20"/>
              </w:rPr>
              <w:t xml:space="preserve">Projects </w:t>
            </w:r>
            <w:r w:rsidR="00456444">
              <w:rPr>
                <w:rFonts w:ascii="Arial" w:hAnsi="Arial" w:cs="Arial"/>
                <w:b/>
                <w:i/>
                <w:sz w:val="20"/>
                <w:szCs w:val="20"/>
              </w:rPr>
              <w:t>not yet</w:t>
            </w:r>
            <w:r w:rsidRPr="00DC554E">
              <w:rPr>
                <w:rFonts w:ascii="Arial" w:hAnsi="Arial" w:cs="Arial"/>
                <w:b/>
                <w:i/>
                <w:sz w:val="20"/>
                <w:szCs w:val="20"/>
              </w:rPr>
              <w:t xml:space="preserve"> </w:t>
            </w:r>
            <w:r w:rsidR="00456444">
              <w:rPr>
                <w:rFonts w:ascii="Arial" w:hAnsi="Arial" w:cs="Arial"/>
                <w:b/>
                <w:i/>
                <w:sz w:val="20"/>
                <w:szCs w:val="20"/>
              </w:rPr>
              <w:t>scheduled</w:t>
            </w:r>
            <w:r w:rsidR="0006498E">
              <w:rPr>
                <w:rFonts w:ascii="Arial" w:hAnsi="Arial" w:cs="Arial"/>
                <w:b/>
                <w:i/>
                <w:sz w:val="20"/>
                <w:szCs w:val="20"/>
              </w:rPr>
              <w:t xml:space="preserve"> (**order does not reflect priority**)</w:t>
            </w:r>
          </w:p>
        </w:tc>
      </w:tr>
      <w:tr w:rsidR="00701795" w:rsidRPr="00DC554E" w14:paraId="023FCF6D" w14:textId="77777777" w:rsidTr="00943262">
        <w:trPr>
          <w:trHeight w:val="1025"/>
          <w:tblHeader/>
        </w:trPr>
        <w:tc>
          <w:tcPr>
            <w:tcW w:w="2610" w:type="dxa"/>
            <w:vAlign w:val="center"/>
          </w:tcPr>
          <w:p w14:paraId="23F143A2" w14:textId="77777777" w:rsidR="00701795" w:rsidRPr="00DC554E" w:rsidRDefault="00701795" w:rsidP="00701795">
            <w:pPr>
              <w:rPr>
                <w:rFonts w:ascii="Arial" w:hAnsi="Arial" w:cs="Arial"/>
                <w:b/>
                <w:sz w:val="20"/>
                <w:szCs w:val="20"/>
              </w:rPr>
            </w:pPr>
            <w:r w:rsidRPr="00DC554E">
              <w:rPr>
                <w:rFonts w:ascii="Arial" w:hAnsi="Arial" w:cs="Arial"/>
                <w:b/>
                <w:sz w:val="20"/>
                <w:szCs w:val="20"/>
              </w:rPr>
              <w:t>Discussion Paper:</w:t>
            </w:r>
          </w:p>
          <w:p w14:paraId="09C30FD7" w14:textId="79BC6B40" w:rsidR="00701795" w:rsidRPr="00DC554E" w:rsidRDefault="00701795" w:rsidP="00701795">
            <w:pPr>
              <w:rPr>
                <w:rFonts w:ascii="Arial" w:hAnsi="Arial" w:cs="Arial"/>
                <w:sz w:val="20"/>
                <w:szCs w:val="20"/>
              </w:rPr>
            </w:pPr>
            <w:r>
              <w:rPr>
                <w:rFonts w:ascii="Arial" w:hAnsi="Arial" w:cs="Arial"/>
                <w:sz w:val="20"/>
                <w:szCs w:val="20"/>
              </w:rPr>
              <w:t>Use of Hired Master Provision</w:t>
            </w:r>
          </w:p>
        </w:tc>
        <w:tc>
          <w:tcPr>
            <w:tcW w:w="12060" w:type="dxa"/>
            <w:vAlign w:val="center"/>
          </w:tcPr>
          <w:p w14:paraId="1B435C7C" w14:textId="4C6B6871" w:rsidR="00701795" w:rsidRPr="00DC554E" w:rsidRDefault="00701795" w:rsidP="00701795">
            <w:pPr>
              <w:rPr>
                <w:rFonts w:ascii="Arial" w:hAnsi="Arial" w:cs="Arial"/>
                <w:sz w:val="20"/>
                <w:szCs w:val="20"/>
              </w:rPr>
            </w:pPr>
            <w:r w:rsidRPr="00DC554E">
              <w:rPr>
                <w:rFonts w:ascii="Arial" w:hAnsi="Arial" w:cs="Arial"/>
                <w:sz w:val="20"/>
                <w:szCs w:val="20"/>
              </w:rPr>
              <w:t>Given the increasing use of hired masters in the IFQ fishery, assemble data on hired master use and describe business arrangements between vessel owners, QS holders, and crew to the extent possible. The Council is scoping for potential modifications to hired master regulations that would promote the original program objected of an owner/operator fleet.</w:t>
            </w:r>
          </w:p>
        </w:tc>
      </w:tr>
      <w:tr w:rsidR="00701795" w:rsidRPr="00DC554E" w14:paraId="1B8C6230" w14:textId="77777777" w:rsidTr="00943262">
        <w:trPr>
          <w:trHeight w:val="1070"/>
          <w:tblHeader/>
        </w:trPr>
        <w:tc>
          <w:tcPr>
            <w:tcW w:w="2610" w:type="dxa"/>
            <w:vAlign w:val="center"/>
          </w:tcPr>
          <w:p w14:paraId="6E44371D" w14:textId="77777777" w:rsidR="00701795" w:rsidRPr="00DC554E" w:rsidRDefault="00701795" w:rsidP="00701795">
            <w:pPr>
              <w:rPr>
                <w:rFonts w:ascii="Arial" w:hAnsi="Arial" w:cs="Arial"/>
                <w:b/>
                <w:sz w:val="20"/>
                <w:szCs w:val="20"/>
              </w:rPr>
            </w:pPr>
            <w:r w:rsidRPr="00DC554E">
              <w:rPr>
                <w:rFonts w:ascii="Arial" w:hAnsi="Arial" w:cs="Arial"/>
                <w:b/>
                <w:sz w:val="20"/>
                <w:szCs w:val="20"/>
              </w:rPr>
              <w:t>Discussion Paper:</w:t>
            </w:r>
          </w:p>
          <w:p w14:paraId="6D2A1A5C" w14:textId="4A033F5B" w:rsidR="00701795" w:rsidRDefault="00701795" w:rsidP="00701795">
            <w:pPr>
              <w:rPr>
                <w:rFonts w:ascii="Arial" w:hAnsi="Arial" w:cs="Arial"/>
                <w:b/>
                <w:sz w:val="20"/>
                <w:szCs w:val="20"/>
              </w:rPr>
            </w:pPr>
            <w:r w:rsidRPr="00DC554E">
              <w:rPr>
                <w:rFonts w:ascii="Arial" w:hAnsi="Arial" w:cs="Arial"/>
                <w:sz w:val="20"/>
                <w:szCs w:val="20"/>
              </w:rPr>
              <w:t>QS Transfer Mechanisms</w:t>
            </w:r>
          </w:p>
        </w:tc>
        <w:tc>
          <w:tcPr>
            <w:tcW w:w="12060" w:type="dxa"/>
            <w:vAlign w:val="center"/>
          </w:tcPr>
          <w:p w14:paraId="034224DA" w14:textId="79A26E95" w:rsidR="00701795" w:rsidRPr="004E141D" w:rsidRDefault="00701795" w:rsidP="008966D9">
            <w:pPr>
              <w:rPr>
                <w:rFonts w:ascii="Arial" w:hAnsi="Arial" w:cs="Arial"/>
                <w:sz w:val="20"/>
                <w:szCs w:val="20"/>
              </w:rPr>
            </w:pPr>
            <w:r w:rsidRPr="00DC554E">
              <w:rPr>
                <w:rFonts w:ascii="Arial" w:hAnsi="Arial" w:cs="Arial"/>
                <w:sz w:val="20"/>
                <w:szCs w:val="20"/>
              </w:rPr>
              <w:t>Explore regulatory and non-regulatory options that promote willing transfers of QS from initial QS recipients to hired masters and crew, including but not limited to the Right of First Offer concept used in crab cooperatives. Also scope potential for changes to the Federal loan program that would increase use by individuals looking to purchase QS.</w:t>
            </w:r>
          </w:p>
        </w:tc>
      </w:tr>
    </w:tbl>
    <w:p w14:paraId="3AA19F0A" w14:textId="1A1DB0A1" w:rsidR="007037FD" w:rsidRPr="00DC554E" w:rsidRDefault="007037FD" w:rsidP="008D0493">
      <w:pPr>
        <w:rPr>
          <w:rFonts w:ascii="Arial" w:hAnsi="Arial" w:cs="Arial"/>
          <w:i/>
          <w:sz w:val="20"/>
          <w:szCs w:val="20"/>
        </w:rPr>
      </w:pPr>
    </w:p>
    <w:sectPr w:rsidR="007037FD" w:rsidRPr="00DC554E" w:rsidSect="00943262">
      <w:headerReference w:type="default" r:id="rId7"/>
      <w:footerReference w:type="default" r:id="rId8"/>
      <w:pgSz w:w="15840" w:h="12240" w:orient="landscape" w:code="1"/>
      <w:pgMar w:top="126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E636B" w14:textId="77777777" w:rsidR="00652D06" w:rsidRDefault="00652D06" w:rsidP="00E33FF7">
      <w:r>
        <w:separator/>
      </w:r>
    </w:p>
  </w:endnote>
  <w:endnote w:type="continuationSeparator" w:id="0">
    <w:p w14:paraId="594EAA84" w14:textId="77777777" w:rsidR="00652D06" w:rsidRDefault="00652D06" w:rsidP="00E3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692184265"/>
      <w:docPartObj>
        <w:docPartGallery w:val="Page Numbers (Bottom of Page)"/>
        <w:docPartUnique/>
      </w:docPartObj>
    </w:sdtPr>
    <w:sdtEndPr>
      <w:rPr>
        <w:noProof/>
      </w:rPr>
    </w:sdtEndPr>
    <w:sdtContent>
      <w:p w14:paraId="2C71A7B9" w14:textId="233D015D" w:rsidR="00D542A4" w:rsidRPr="00E04112" w:rsidRDefault="00D542A4" w:rsidP="00E94BF0">
        <w:pPr>
          <w:pStyle w:val="Footer"/>
          <w:jc w:val="center"/>
          <w:rPr>
            <w:rFonts w:ascii="Arial" w:hAnsi="Arial" w:cs="Arial"/>
          </w:rPr>
        </w:pPr>
        <w:r w:rsidRPr="00E04112">
          <w:rPr>
            <w:rFonts w:ascii="Arial" w:hAnsi="Arial" w:cs="Arial"/>
          </w:rPr>
          <w:fldChar w:fldCharType="begin"/>
        </w:r>
        <w:r w:rsidRPr="00E04112">
          <w:rPr>
            <w:rFonts w:ascii="Arial" w:hAnsi="Arial" w:cs="Arial"/>
          </w:rPr>
          <w:instrText xml:space="preserve"> PAGE   \* MERGEFORMAT </w:instrText>
        </w:r>
        <w:r w:rsidRPr="00E04112">
          <w:rPr>
            <w:rFonts w:ascii="Arial" w:hAnsi="Arial" w:cs="Arial"/>
          </w:rPr>
          <w:fldChar w:fldCharType="separate"/>
        </w:r>
        <w:r w:rsidR="00A1269C">
          <w:rPr>
            <w:rFonts w:ascii="Arial" w:hAnsi="Arial" w:cs="Arial"/>
            <w:noProof/>
          </w:rPr>
          <w:t>1</w:t>
        </w:r>
        <w:r w:rsidRPr="00E04112">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A6D08" w14:textId="77777777" w:rsidR="00652D06" w:rsidRDefault="00652D06" w:rsidP="00E33FF7">
      <w:r>
        <w:separator/>
      </w:r>
    </w:p>
  </w:footnote>
  <w:footnote w:type="continuationSeparator" w:id="0">
    <w:p w14:paraId="7326B0BE" w14:textId="77777777" w:rsidR="00652D06" w:rsidRDefault="00652D06" w:rsidP="00E3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619DE" w14:textId="01F63812" w:rsidR="00D542A4" w:rsidRPr="00BF7B05" w:rsidRDefault="00EE40A4" w:rsidP="00D31DDD">
    <w:pPr>
      <w:pStyle w:val="Header"/>
      <w:jc w:val="right"/>
      <w:rPr>
        <w:rFonts w:ascii="Arial" w:hAnsi="Arial" w:cs="Arial"/>
        <w:sz w:val="20"/>
      </w:rPr>
    </w:pPr>
    <w:r w:rsidRPr="00BF7B05">
      <w:rPr>
        <w:rFonts w:ascii="Arial" w:hAnsi="Arial" w:cs="Arial"/>
        <w:sz w:val="20"/>
      </w:rPr>
      <w:t>IFQ Program</w:t>
    </w:r>
    <w:r w:rsidR="00D542A4" w:rsidRPr="00BF7B05">
      <w:rPr>
        <w:rFonts w:ascii="Arial" w:hAnsi="Arial" w:cs="Arial"/>
        <w:sz w:val="20"/>
      </w:rPr>
      <w:t xml:space="preserve"> Task </w:t>
    </w:r>
    <w:r w:rsidR="00BF7B05">
      <w:rPr>
        <w:rFonts w:ascii="Arial" w:hAnsi="Arial" w:cs="Arial"/>
        <w:sz w:val="20"/>
      </w:rPr>
      <w:t>List</w:t>
    </w:r>
  </w:p>
  <w:p w14:paraId="146F9919" w14:textId="2D1959CB" w:rsidR="00D542A4" w:rsidRPr="005B5C04" w:rsidRDefault="008A3B0F" w:rsidP="00D31DDD">
    <w:pPr>
      <w:pStyle w:val="Header"/>
      <w:jc w:val="right"/>
      <w:rPr>
        <w:rFonts w:ascii="Arial" w:hAnsi="Arial" w:cs="Arial"/>
        <w:sz w:val="20"/>
      </w:rPr>
    </w:pPr>
    <w:r>
      <w:rPr>
        <w:rFonts w:ascii="Arial" w:hAnsi="Arial" w:cs="Arial"/>
        <w:sz w:val="20"/>
      </w:rPr>
      <w:t>April</w:t>
    </w:r>
    <w:r w:rsidR="00681AF1">
      <w:rPr>
        <w:rFonts w:ascii="Arial" w:hAnsi="Arial" w:cs="Arial"/>
        <w:sz w:val="20"/>
      </w:rPr>
      <w:t xml:space="preserve"> 20</w:t>
    </w:r>
    <w:r w:rsidR="002A7203">
      <w:rPr>
        <w:rFonts w:ascii="Arial" w:hAnsi="Arial" w:cs="Arial"/>
        <w:sz w:val="20"/>
      </w:rPr>
      <w:t>2</w:t>
    </w:r>
    <w:r>
      <w:rPr>
        <w:rFonts w:ascii="Arial" w:hAnsi="Arial" w:cs="Arial"/>
        <w:sz w:val="20"/>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QwNzc1MTMxMbM0NjVT0lEKTi0uzszPAykwqgUA8BXDLiwAAAA="/>
  </w:docVars>
  <w:rsids>
    <w:rsidRoot w:val="00482752"/>
    <w:rsid w:val="0000285F"/>
    <w:rsid w:val="000131C5"/>
    <w:rsid w:val="00014090"/>
    <w:rsid w:val="00015FBF"/>
    <w:rsid w:val="0001649F"/>
    <w:rsid w:val="00021D14"/>
    <w:rsid w:val="00027599"/>
    <w:rsid w:val="0003180D"/>
    <w:rsid w:val="0003209B"/>
    <w:rsid w:val="00033AED"/>
    <w:rsid w:val="00034A65"/>
    <w:rsid w:val="00035561"/>
    <w:rsid w:val="00037321"/>
    <w:rsid w:val="00041753"/>
    <w:rsid w:val="00043B3E"/>
    <w:rsid w:val="00044F46"/>
    <w:rsid w:val="00046D31"/>
    <w:rsid w:val="00047370"/>
    <w:rsid w:val="00050101"/>
    <w:rsid w:val="00055E7A"/>
    <w:rsid w:val="00056319"/>
    <w:rsid w:val="00061552"/>
    <w:rsid w:val="00061DB5"/>
    <w:rsid w:val="000623A7"/>
    <w:rsid w:val="00062BC1"/>
    <w:rsid w:val="00063B06"/>
    <w:rsid w:val="0006498E"/>
    <w:rsid w:val="00064A0E"/>
    <w:rsid w:val="00067E4E"/>
    <w:rsid w:val="00067ED1"/>
    <w:rsid w:val="00070348"/>
    <w:rsid w:val="0007047F"/>
    <w:rsid w:val="00071850"/>
    <w:rsid w:val="00071B84"/>
    <w:rsid w:val="00073474"/>
    <w:rsid w:val="00080943"/>
    <w:rsid w:val="00084208"/>
    <w:rsid w:val="00090D03"/>
    <w:rsid w:val="00090E0C"/>
    <w:rsid w:val="00093948"/>
    <w:rsid w:val="00095A84"/>
    <w:rsid w:val="00095EC7"/>
    <w:rsid w:val="0009680B"/>
    <w:rsid w:val="00097E5A"/>
    <w:rsid w:val="00097F10"/>
    <w:rsid w:val="000A3B24"/>
    <w:rsid w:val="000A475A"/>
    <w:rsid w:val="000A55B5"/>
    <w:rsid w:val="000A6B4E"/>
    <w:rsid w:val="000A6D03"/>
    <w:rsid w:val="000A700B"/>
    <w:rsid w:val="000B0B30"/>
    <w:rsid w:val="000B1272"/>
    <w:rsid w:val="000B1BC1"/>
    <w:rsid w:val="000B24A2"/>
    <w:rsid w:val="000B35CC"/>
    <w:rsid w:val="000B5609"/>
    <w:rsid w:val="000B5944"/>
    <w:rsid w:val="000B6CE6"/>
    <w:rsid w:val="000C0C0F"/>
    <w:rsid w:val="000C0F85"/>
    <w:rsid w:val="000C2132"/>
    <w:rsid w:val="000C24B3"/>
    <w:rsid w:val="000C279B"/>
    <w:rsid w:val="000C2BB7"/>
    <w:rsid w:val="000C30D0"/>
    <w:rsid w:val="000C33E8"/>
    <w:rsid w:val="000C4D7C"/>
    <w:rsid w:val="000C5844"/>
    <w:rsid w:val="000C6CA1"/>
    <w:rsid w:val="000C7E81"/>
    <w:rsid w:val="000D1053"/>
    <w:rsid w:val="000D24AF"/>
    <w:rsid w:val="000D3084"/>
    <w:rsid w:val="000D3750"/>
    <w:rsid w:val="000D6AAB"/>
    <w:rsid w:val="000D6C84"/>
    <w:rsid w:val="000E1480"/>
    <w:rsid w:val="000E20CB"/>
    <w:rsid w:val="000E373A"/>
    <w:rsid w:val="000F0527"/>
    <w:rsid w:val="000F067B"/>
    <w:rsid w:val="000F10AE"/>
    <w:rsid w:val="000F6492"/>
    <w:rsid w:val="00100F03"/>
    <w:rsid w:val="00102D43"/>
    <w:rsid w:val="0010625D"/>
    <w:rsid w:val="00110860"/>
    <w:rsid w:val="001119BF"/>
    <w:rsid w:val="0011421A"/>
    <w:rsid w:val="00120507"/>
    <w:rsid w:val="001225C2"/>
    <w:rsid w:val="00123E78"/>
    <w:rsid w:val="00125CB0"/>
    <w:rsid w:val="00132248"/>
    <w:rsid w:val="00132C84"/>
    <w:rsid w:val="00135838"/>
    <w:rsid w:val="0013678B"/>
    <w:rsid w:val="00137A29"/>
    <w:rsid w:val="00143976"/>
    <w:rsid w:val="00146DE2"/>
    <w:rsid w:val="001564F1"/>
    <w:rsid w:val="00162926"/>
    <w:rsid w:val="00171B63"/>
    <w:rsid w:val="00172635"/>
    <w:rsid w:val="001730DC"/>
    <w:rsid w:val="00174940"/>
    <w:rsid w:val="00176721"/>
    <w:rsid w:val="00176D80"/>
    <w:rsid w:val="00180C61"/>
    <w:rsid w:val="00182C70"/>
    <w:rsid w:val="001833C5"/>
    <w:rsid w:val="0018779F"/>
    <w:rsid w:val="001936CF"/>
    <w:rsid w:val="0019591B"/>
    <w:rsid w:val="001968A2"/>
    <w:rsid w:val="00196B6D"/>
    <w:rsid w:val="00196E57"/>
    <w:rsid w:val="001A1EBD"/>
    <w:rsid w:val="001A405E"/>
    <w:rsid w:val="001B188C"/>
    <w:rsid w:val="001B1BFA"/>
    <w:rsid w:val="001B2BB9"/>
    <w:rsid w:val="001B45EF"/>
    <w:rsid w:val="001B5D24"/>
    <w:rsid w:val="001B69CD"/>
    <w:rsid w:val="001B6A5F"/>
    <w:rsid w:val="001C01B4"/>
    <w:rsid w:val="001C0B68"/>
    <w:rsid w:val="001C0CCF"/>
    <w:rsid w:val="001C311B"/>
    <w:rsid w:val="001C33D9"/>
    <w:rsid w:val="001C3851"/>
    <w:rsid w:val="001C4026"/>
    <w:rsid w:val="001C4AE3"/>
    <w:rsid w:val="001C4E3F"/>
    <w:rsid w:val="001C5ABD"/>
    <w:rsid w:val="001D2A90"/>
    <w:rsid w:val="001D2B6B"/>
    <w:rsid w:val="001D2CB5"/>
    <w:rsid w:val="001D487C"/>
    <w:rsid w:val="001D7FB9"/>
    <w:rsid w:val="001E1A38"/>
    <w:rsid w:val="001E1F63"/>
    <w:rsid w:val="001E386D"/>
    <w:rsid w:val="001E44DC"/>
    <w:rsid w:val="001E4B6C"/>
    <w:rsid w:val="001E615A"/>
    <w:rsid w:val="001E6C4E"/>
    <w:rsid w:val="001F0F0C"/>
    <w:rsid w:val="001F2C76"/>
    <w:rsid w:val="001F3CDF"/>
    <w:rsid w:val="001F5633"/>
    <w:rsid w:val="001F654E"/>
    <w:rsid w:val="00200C47"/>
    <w:rsid w:val="00201760"/>
    <w:rsid w:val="00203E37"/>
    <w:rsid w:val="00205449"/>
    <w:rsid w:val="002057F4"/>
    <w:rsid w:val="00211BCE"/>
    <w:rsid w:val="002133AB"/>
    <w:rsid w:val="00213F31"/>
    <w:rsid w:val="00214C27"/>
    <w:rsid w:val="0021640D"/>
    <w:rsid w:val="0021724D"/>
    <w:rsid w:val="00220C19"/>
    <w:rsid w:val="00224C36"/>
    <w:rsid w:val="0022721D"/>
    <w:rsid w:val="002273B8"/>
    <w:rsid w:val="00230FEF"/>
    <w:rsid w:val="0023131E"/>
    <w:rsid w:val="0023297F"/>
    <w:rsid w:val="0023345F"/>
    <w:rsid w:val="002357FB"/>
    <w:rsid w:val="0023794C"/>
    <w:rsid w:val="00237A12"/>
    <w:rsid w:val="00241366"/>
    <w:rsid w:val="002464D5"/>
    <w:rsid w:val="00246C8C"/>
    <w:rsid w:val="0025242B"/>
    <w:rsid w:val="00255111"/>
    <w:rsid w:val="00255270"/>
    <w:rsid w:val="00257490"/>
    <w:rsid w:val="00261568"/>
    <w:rsid w:val="00262494"/>
    <w:rsid w:val="00262E62"/>
    <w:rsid w:val="00262F28"/>
    <w:rsid w:val="00264E20"/>
    <w:rsid w:val="002655DD"/>
    <w:rsid w:val="002736AF"/>
    <w:rsid w:val="002806E8"/>
    <w:rsid w:val="00282F06"/>
    <w:rsid w:val="0028498E"/>
    <w:rsid w:val="00284B01"/>
    <w:rsid w:val="00290D1C"/>
    <w:rsid w:val="00291B02"/>
    <w:rsid w:val="00292D5D"/>
    <w:rsid w:val="002933E5"/>
    <w:rsid w:val="00295727"/>
    <w:rsid w:val="00296B5E"/>
    <w:rsid w:val="00296D26"/>
    <w:rsid w:val="002974E5"/>
    <w:rsid w:val="002A286F"/>
    <w:rsid w:val="002A3583"/>
    <w:rsid w:val="002A3BCC"/>
    <w:rsid w:val="002A6564"/>
    <w:rsid w:val="002A6C58"/>
    <w:rsid w:val="002A7203"/>
    <w:rsid w:val="002A73E8"/>
    <w:rsid w:val="002B059E"/>
    <w:rsid w:val="002B1E47"/>
    <w:rsid w:val="002B32D8"/>
    <w:rsid w:val="002B3F15"/>
    <w:rsid w:val="002B48D2"/>
    <w:rsid w:val="002B6968"/>
    <w:rsid w:val="002C2155"/>
    <w:rsid w:val="002C27D0"/>
    <w:rsid w:val="002C3392"/>
    <w:rsid w:val="002C5898"/>
    <w:rsid w:val="002C7101"/>
    <w:rsid w:val="002D1D5C"/>
    <w:rsid w:val="002D37FB"/>
    <w:rsid w:val="002D44EC"/>
    <w:rsid w:val="002D6D3F"/>
    <w:rsid w:val="002E022B"/>
    <w:rsid w:val="002E49F3"/>
    <w:rsid w:val="002E7CE9"/>
    <w:rsid w:val="002F2029"/>
    <w:rsid w:val="002F24FB"/>
    <w:rsid w:val="002F285A"/>
    <w:rsid w:val="002F4AA5"/>
    <w:rsid w:val="002F66A4"/>
    <w:rsid w:val="002F7F81"/>
    <w:rsid w:val="00300216"/>
    <w:rsid w:val="003022C5"/>
    <w:rsid w:val="00303962"/>
    <w:rsid w:val="0030576B"/>
    <w:rsid w:val="003146BC"/>
    <w:rsid w:val="003173AB"/>
    <w:rsid w:val="003255E1"/>
    <w:rsid w:val="00326A74"/>
    <w:rsid w:val="00327820"/>
    <w:rsid w:val="00327DCA"/>
    <w:rsid w:val="003307FE"/>
    <w:rsid w:val="003323FC"/>
    <w:rsid w:val="00332524"/>
    <w:rsid w:val="00332DA2"/>
    <w:rsid w:val="00334FC4"/>
    <w:rsid w:val="00335114"/>
    <w:rsid w:val="003367B8"/>
    <w:rsid w:val="00340069"/>
    <w:rsid w:val="0034353D"/>
    <w:rsid w:val="00343E59"/>
    <w:rsid w:val="00344556"/>
    <w:rsid w:val="0034491C"/>
    <w:rsid w:val="00346DA3"/>
    <w:rsid w:val="00347500"/>
    <w:rsid w:val="00350718"/>
    <w:rsid w:val="00350E64"/>
    <w:rsid w:val="00352EEE"/>
    <w:rsid w:val="00357ED7"/>
    <w:rsid w:val="00361C92"/>
    <w:rsid w:val="00363ED2"/>
    <w:rsid w:val="00365498"/>
    <w:rsid w:val="00366FFD"/>
    <w:rsid w:val="00367B64"/>
    <w:rsid w:val="00367E13"/>
    <w:rsid w:val="003703BC"/>
    <w:rsid w:val="00370F03"/>
    <w:rsid w:val="00372EF7"/>
    <w:rsid w:val="00375D36"/>
    <w:rsid w:val="00377451"/>
    <w:rsid w:val="003802E9"/>
    <w:rsid w:val="00380DBD"/>
    <w:rsid w:val="00382529"/>
    <w:rsid w:val="0038399B"/>
    <w:rsid w:val="00383DCA"/>
    <w:rsid w:val="003840DD"/>
    <w:rsid w:val="003842DF"/>
    <w:rsid w:val="00387E0A"/>
    <w:rsid w:val="00387F89"/>
    <w:rsid w:val="0039121B"/>
    <w:rsid w:val="00392E92"/>
    <w:rsid w:val="003979CA"/>
    <w:rsid w:val="003979E6"/>
    <w:rsid w:val="00397DE3"/>
    <w:rsid w:val="003A0665"/>
    <w:rsid w:val="003A3FF1"/>
    <w:rsid w:val="003A4DC4"/>
    <w:rsid w:val="003A501D"/>
    <w:rsid w:val="003A5404"/>
    <w:rsid w:val="003A73AC"/>
    <w:rsid w:val="003B07C8"/>
    <w:rsid w:val="003B0DFA"/>
    <w:rsid w:val="003B1024"/>
    <w:rsid w:val="003B1B3F"/>
    <w:rsid w:val="003B25AC"/>
    <w:rsid w:val="003B3325"/>
    <w:rsid w:val="003B6974"/>
    <w:rsid w:val="003B6C1C"/>
    <w:rsid w:val="003B6F85"/>
    <w:rsid w:val="003B7AAE"/>
    <w:rsid w:val="003C0100"/>
    <w:rsid w:val="003C0287"/>
    <w:rsid w:val="003C1234"/>
    <w:rsid w:val="003C1B8D"/>
    <w:rsid w:val="003C21CA"/>
    <w:rsid w:val="003D3837"/>
    <w:rsid w:val="003D4B60"/>
    <w:rsid w:val="003D5114"/>
    <w:rsid w:val="003E1AD8"/>
    <w:rsid w:val="003E37CB"/>
    <w:rsid w:val="003E384A"/>
    <w:rsid w:val="003E5732"/>
    <w:rsid w:val="003E713D"/>
    <w:rsid w:val="003F2DC7"/>
    <w:rsid w:val="003F5C1B"/>
    <w:rsid w:val="003F6970"/>
    <w:rsid w:val="003F6DF1"/>
    <w:rsid w:val="003F7C48"/>
    <w:rsid w:val="0040053A"/>
    <w:rsid w:val="004032F8"/>
    <w:rsid w:val="00405A07"/>
    <w:rsid w:val="004068CE"/>
    <w:rsid w:val="00406E7D"/>
    <w:rsid w:val="00407744"/>
    <w:rsid w:val="00410D02"/>
    <w:rsid w:val="00411546"/>
    <w:rsid w:val="00412863"/>
    <w:rsid w:val="00413665"/>
    <w:rsid w:val="00414C9A"/>
    <w:rsid w:val="004202AA"/>
    <w:rsid w:val="0042108D"/>
    <w:rsid w:val="00425778"/>
    <w:rsid w:val="004260E8"/>
    <w:rsid w:val="004269F8"/>
    <w:rsid w:val="00434068"/>
    <w:rsid w:val="004406DF"/>
    <w:rsid w:val="0044107E"/>
    <w:rsid w:val="004413AB"/>
    <w:rsid w:val="00442D0C"/>
    <w:rsid w:val="00443374"/>
    <w:rsid w:val="00445D9D"/>
    <w:rsid w:val="0044681E"/>
    <w:rsid w:val="00452797"/>
    <w:rsid w:val="00452A7D"/>
    <w:rsid w:val="00453F29"/>
    <w:rsid w:val="00456444"/>
    <w:rsid w:val="00457473"/>
    <w:rsid w:val="00461435"/>
    <w:rsid w:val="0046310E"/>
    <w:rsid w:val="00463E08"/>
    <w:rsid w:val="00465BB6"/>
    <w:rsid w:val="00465F6F"/>
    <w:rsid w:val="004679B4"/>
    <w:rsid w:val="004706A9"/>
    <w:rsid w:val="00472785"/>
    <w:rsid w:val="00472E0B"/>
    <w:rsid w:val="00473155"/>
    <w:rsid w:val="00475950"/>
    <w:rsid w:val="0047672E"/>
    <w:rsid w:val="00477E30"/>
    <w:rsid w:val="00480349"/>
    <w:rsid w:val="004819F1"/>
    <w:rsid w:val="004820F4"/>
    <w:rsid w:val="004823E1"/>
    <w:rsid w:val="00482752"/>
    <w:rsid w:val="004834C5"/>
    <w:rsid w:val="00483D57"/>
    <w:rsid w:val="00487F8F"/>
    <w:rsid w:val="004901A6"/>
    <w:rsid w:val="00490EA4"/>
    <w:rsid w:val="00492E05"/>
    <w:rsid w:val="00493799"/>
    <w:rsid w:val="00497504"/>
    <w:rsid w:val="004A12C2"/>
    <w:rsid w:val="004A1E97"/>
    <w:rsid w:val="004A4A8F"/>
    <w:rsid w:val="004A61EE"/>
    <w:rsid w:val="004A6E31"/>
    <w:rsid w:val="004A7E66"/>
    <w:rsid w:val="004B20CE"/>
    <w:rsid w:val="004B230B"/>
    <w:rsid w:val="004B26F5"/>
    <w:rsid w:val="004B2915"/>
    <w:rsid w:val="004B293D"/>
    <w:rsid w:val="004B2D94"/>
    <w:rsid w:val="004B3874"/>
    <w:rsid w:val="004B677F"/>
    <w:rsid w:val="004B74D4"/>
    <w:rsid w:val="004C242C"/>
    <w:rsid w:val="004C27DA"/>
    <w:rsid w:val="004C4757"/>
    <w:rsid w:val="004C48EE"/>
    <w:rsid w:val="004D1029"/>
    <w:rsid w:val="004D303F"/>
    <w:rsid w:val="004D3934"/>
    <w:rsid w:val="004D402D"/>
    <w:rsid w:val="004D605B"/>
    <w:rsid w:val="004D67B7"/>
    <w:rsid w:val="004E22E8"/>
    <w:rsid w:val="004E51F5"/>
    <w:rsid w:val="004E6941"/>
    <w:rsid w:val="004E73BD"/>
    <w:rsid w:val="004E74A6"/>
    <w:rsid w:val="004E7E09"/>
    <w:rsid w:val="004F0929"/>
    <w:rsid w:val="004F339E"/>
    <w:rsid w:val="004F4D70"/>
    <w:rsid w:val="004F554C"/>
    <w:rsid w:val="004F617D"/>
    <w:rsid w:val="004F66B5"/>
    <w:rsid w:val="004F6C45"/>
    <w:rsid w:val="004F7007"/>
    <w:rsid w:val="00500280"/>
    <w:rsid w:val="00502424"/>
    <w:rsid w:val="0050387D"/>
    <w:rsid w:val="005039DD"/>
    <w:rsid w:val="00507231"/>
    <w:rsid w:val="00511028"/>
    <w:rsid w:val="00511111"/>
    <w:rsid w:val="005119B1"/>
    <w:rsid w:val="00513747"/>
    <w:rsid w:val="00514D78"/>
    <w:rsid w:val="005154BE"/>
    <w:rsid w:val="00515E00"/>
    <w:rsid w:val="0052051D"/>
    <w:rsid w:val="005206DE"/>
    <w:rsid w:val="00520AB4"/>
    <w:rsid w:val="00523CC7"/>
    <w:rsid w:val="00524849"/>
    <w:rsid w:val="00525B9C"/>
    <w:rsid w:val="00530C6A"/>
    <w:rsid w:val="00533074"/>
    <w:rsid w:val="005337B0"/>
    <w:rsid w:val="0053550F"/>
    <w:rsid w:val="005367CF"/>
    <w:rsid w:val="005374E9"/>
    <w:rsid w:val="005409BA"/>
    <w:rsid w:val="00542634"/>
    <w:rsid w:val="00550783"/>
    <w:rsid w:val="005517E4"/>
    <w:rsid w:val="00551F5C"/>
    <w:rsid w:val="00552750"/>
    <w:rsid w:val="00554DAC"/>
    <w:rsid w:val="005573CE"/>
    <w:rsid w:val="00557EBB"/>
    <w:rsid w:val="005618C9"/>
    <w:rsid w:val="00561F42"/>
    <w:rsid w:val="00562D79"/>
    <w:rsid w:val="00564166"/>
    <w:rsid w:val="00566E49"/>
    <w:rsid w:val="00567731"/>
    <w:rsid w:val="00571F50"/>
    <w:rsid w:val="005776B3"/>
    <w:rsid w:val="00581075"/>
    <w:rsid w:val="005818DD"/>
    <w:rsid w:val="00582C30"/>
    <w:rsid w:val="00585377"/>
    <w:rsid w:val="005857BE"/>
    <w:rsid w:val="0058775F"/>
    <w:rsid w:val="00590213"/>
    <w:rsid w:val="00590E3B"/>
    <w:rsid w:val="005944C3"/>
    <w:rsid w:val="0059604A"/>
    <w:rsid w:val="00596FDB"/>
    <w:rsid w:val="005A05C2"/>
    <w:rsid w:val="005A07B6"/>
    <w:rsid w:val="005A26FE"/>
    <w:rsid w:val="005A6E2E"/>
    <w:rsid w:val="005A7268"/>
    <w:rsid w:val="005A7C9B"/>
    <w:rsid w:val="005B10AC"/>
    <w:rsid w:val="005B1E64"/>
    <w:rsid w:val="005B262A"/>
    <w:rsid w:val="005B536D"/>
    <w:rsid w:val="005B5C04"/>
    <w:rsid w:val="005B7DE7"/>
    <w:rsid w:val="005C0930"/>
    <w:rsid w:val="005C2A49"/>
    <w:rsid w:val="005C3464"/>
    <w:rsid w:val="005C4C11"/>
    <w:rsid w:val="005C56FA"/>
    <w:rsid w:val="005D3A6A"/>
    <w:rsid w:val="005E02C1"/>
    <w:rsid w:val="005E0682"/>
    <w:rsid w:val="005E09BF"/>
    <w:rsid w:val="005E3427"/>
    <w:rsid w:val="005E38E4"/>
    <w:rsid w:val="005E3FB8"/>
    <w:rsid w:val="005E43BA"/>
    <w:rsid w:val="005E548C"/>
    <w:rsid w:val="005E73BF"/>
    <w:rsid w:val="005F0653"/>
    <w:rsid w:val="005F0DB9"/>
    <w:rsid w:val="005F16F3"/>
    <w:rsid w:val="005F46C3"/>
    <w:rsid w:val="00602471"/>
    <w:rsid w:val="006068ED"/>
    <w:rsid w:val="00611E75"/>
    <w:rsid w:val="00612199"/>
    <w:rsid w:val="006133E1"/>
    <w:rsid w:val="00616ED9"/>
    <w:rsid w:val="006208CE"/>
    <w:rsid w:val="006217D2"/>
    <w:rsid w:val="006275CE"/>
    <w:rsid w:val="00627735"/>
    <w:rsid w:val="00627FF8"/>
    <w:rsid w:val="00631C53"/>
    <w:rsid w:val="00631DA5"/>
    <w:rsid w:val="00632F38"/>
    <w:rsid w:val="006330FC"/>
    <w:rsid w:val="00634145"/>
    <w:rsid w:val="006367C9"/>
    <w:rsid w:val="00636AC7"/>
    <w:rsid w:val="006371A2"/>
    <w:rsid w:val="00637CDD"/>
    <w:rsid w:val="00640B6A"/>
    <w:rsid w:val="00645AA2"/>
    <w:rsid w:val="00645E98"/>
    <w:rsid w:val="006476A4"/>
    <w:rsid w:val="00647C76"/>
    <w:rsid w:val="00650F70"/>
    <w:rsid w:val="00651738"/>
    <w:rsid w:val="00652156"/>
    <w:rsid w:val="00652D06"/>
    <w:rsid w:val="00654EFB"/>
    <w:rsid w:val="006551E4"/>
    <w:rsid w:val="006552FA"/>
    <w:rsid w:val="00655638"/>
    <w:rsid w:val="00655823"/>
    <w:rsid w:val="00655E53"/>
    <w:rsid w:val="006561F7"/>
    <w:rsid w:val="00657D10"/>
    <w:rsid w:val="00657E16"/>
    <w:rsid w:val="0066090D"/>
    <w:rsid w:val="00660982"/>
    <w:rsid w:val="00660CE1"/>
    <w:rsid w:val="0066233D"/>
    <w:rsid w:val="0066245E"/>
    <w:rsid w:val="0066326B"/>
    <w:rsid w:val="0066650A"/>
    <w:rsid w:val="00671BD1"/>
    <w:rsid w:val="00672B63"/>
    <w:rsid w:val="00674F7E"/>
    <w:rsid w:val="00675E19"/>
    <w:rsid w:val="00676269"/>
    <w:rsid w:val="006764AD"/>
    <w:rsid w:val="00676531"/>
    <w:rsid w:val="00677CE8"/>
    <w:rsid w:val="006801FC"/>
    <w:rsid w:val="00680C10"/>
    <w:rsid w:val="00681094"/>
    <w:rsid w:val="00681AF1"/>
    <w:rsid w:val="00681B22"/>
    <w:rsid w:val="00683729"/>
    <w:rsid w:val="006913D0"/>
    <w:rsid w:val="00695105"/>
    <w:rsid w:val="00696456"/>
    <w:rsid w:val="006967BF"/>
    <w:rsid w:val="00696DD9"/>
    <w:rsid w:val="006A2755"/>
    <w:rsid w:val="006A329E"/>
    <w:rsid w:val="006A5260"/>
    <w:rsid w:val="006B0264"/>
    <w:rsid w:val="006B0BA5"/>
    <w:rsid w:val="006B0BD9"/>
    <w:rsid w:val="006B1BCE"/>
    <w:rsid w:val="006B226E"/>
    <w:rsid w:val="006B2338"/>
    <w:rsid w:val="006B2DAB"/>
    <w:rsid w:val="006B3C0B"/>
    <w:rsid w:val="006B407D"/>
    <w:rsid w:val="006C210B"/>
    <w:rsid w:val="006C4291"/>
    <w:rsid w:val="006C6CAF"/>
    <w:rsid w:val="006C6FEE"/>
    <w:rsid w:val="006D0B16"/>
    <w:rsid w:val="006D33C1"/>
    <w:rsid w:val="006D5F01"/>
    <w:rsid w:val="006D6606"/>
    <w:rsid w:val="006D676D"/>
    <w:rsid w:val="006D6B34"/>
    <w:rsid w:val="006D719C"/>
    <w:rsid w:val="006E095F"/>
    <w:rsid w:val="006E0EBE"/>
    <w:rsid w:val="006E2FAD"/>
    <w:rsid w:val="006E411F"/>
    <w:rsid w:val="006E48BA"/>
    <w:rsid w:val="006E5CEE"/>
    <w:rsid w:val="006E7476"/>
    <w:rsid w:val="006F0035"/>
    <w:rsid w:val="006F16BA"/>
    <w:rsid w:val="006F1DB8"/>
    <w:rsid w:val="006F3459"/>
    <w:rsid w:val="006F3CFF"/>
    <w:rsid w:val="006F4D93"/>
    <w:rsid w:val="006F5CC3"/>
    <w:rsid w:val="00701795"/>
    <w:rsid w:val="00701DBC"/>
    <w:rsid w:val="007037FD"/>
    <w:rsid w:val="00704104"/>
    <w:rsid w:val="00704666"/>
    <w:rsid w:val="00705671"/>
    <w:rsid w:val="00706D02"/>
    <w:rsid w:val="00710433"/>
    <w:rsid w:val="00711197"/>
    <w:rsid w:val="00711B7E"/>
    <w:rsid w:val="0071458C"/>
    <w:rsid w:val="0071528E"/>
    <w:rsid w:val="0071540A"/>
    <w:rsid w:val="00715EBE"/>
    <w:rsid w:val="00717F1C"/>
    <w:rsid w:val="007248EF"/>
    <w:rsid w:val="007257AB"/>
    <w:rsid w:val="00726BEB"/>
    <w:rsid w:val="007319C8"/>
    <w:rsid w:val="007335A0"/>
    <w:rsid w:val="00734FE4"/>
    <w:rsid w:val="00735637"/>
    <w:rsid w:val="00736358"/>
    <w:rsid w:val="007379A5"/>
    <w:rsid w:val="0074047D"/>
    <w:rsid w:val="00741D7C"/>
    <w:rsid w:val="007424BE"/>
    <w:rsid w:val="00745F14"/>
    <w:rsid w:val="0074747B"/>
    <w:rsid w:val="00750A10"/>
    <w:rsid w:val="00757FC7"/>
    <w:rsid w:val="00760754"/>
    <w:rsid w:val="00763171"/>
    <w:rsid w:val="00764372"/>
    <w:rsid w:val="00764AAE"/>
    <w:rsid w:val="00765784"/>
    <w:rsid w:val="00766FBE"/>
    <w:rsid w:val="00767C33"/>
    <w:rsid w:val="007729C3"/>
    <w:rsid w:val="00772FDF"/>
    <w:rsid w:val="007745E8"/>
    <w:rsid w:val="00775F31"/>
    <w:rsid w:val="00776279"/>
    <w:rsid w:val="007779A5"/>
    <w:rsid w:val="00780DE1"/>
    <w:rsid w:val="00781F36"/>
    <w:rsid w:val="007822D8"/>
    <w:rsid w:val="00783F38"/>
    <w:rsid w:val="00784053"/>
    <w:rsid w:val="00785D73"/>
    <w:rsid w:val="00790623"/>
    <w:rsid w:val="00790FB6"/>
    <w:rsid w:val="00794CA5"/>
    <w:rsid w:val="00797965"/>
    <w:rsid w:val="007A13E3"/>
    <w:rsid w:val="007A3D9F"/>
    <w:rsid w:val="007B13B0"/>
    <w:rsid w:val="007B4891"/>
    <w:rsid w:val="007B6A9C"/>
    <w:rsid w:val="007B6C34"/>
    <w:rsid w:val="007C042D"/>
    <w:rsid w:val="007C43BE"/>
    <w:rsid w:val="007C7A93"/>
    <w:rsid w:val="007D033C"/>
    <w:rsid w:val="007D0417"/>
    <w:rsid w:val="007D15E9"/>
    <w:rsid w:val="007D252C"/>
    <w:rsid w:val="007D2B62"/>
    <w:rsid w:val="007D314E"/>
    <w:rsid w:val="007D4287"/>
    <w:rsid w:val="007D48A0"/>
    <w:rsid w:val="007D51BA"/>
    <w:rsid w:val="007E0EF0"/>
    <w:rsid w:val="007E1B8D"/>
    <w:rsid w:val="007E23B1"/>
    <w:rsid w:val="007E285D"/>
    <w:rsid w:val="007E2DFF"/>
    <w:rsid w:val="007E2E05"/>
    <w:rsid w:val="007E44E0"/>
    <w:rsid w:val="007E47E9"/>
    <w:rsid w:val="007E7423"/>
    <w:rsid w:val="007E781E"/>
    <w:rsid w:val="007F0323"/>
    <w:rsid w:val="007F04A7"/>
    <w:rsid w:val="007F05F7"/>
    <w:rsid w:val="007F14B8"/>
    <w:rsid w:val="007F2111"/>
    <w:rsid w:val="007F27C8"/>
    <w:rsid w:val="007F3A53"/>
    <w:rsid w:val="007F5B99"/>
    <w:rsid w:val="007F76D3"/>
    <w:rsid w:val="00801003"/>
    <w:rsid w:val="0080123B"/>
    <w:rsid w:val="00804C25"/>
    <w:rsid w:val="00804C43"/>
    <w:rsid w:val="008062D6"/>
    <w:rsid w:val="0081028D"/>
    <w:rsid w:val="008139A0"/>
    <w:rsid w:val="00813CD4"/>
    <w:rsid w:val="00815858"/>
    <w:rsid w:val="00815AB5"/>
    <w:rsid w:val="008162B6"/>
    <w:rsid w:val="00816A79"/>
    <w:rsid w:val="0081749C"/>
    <w:rsid w:val="00820502"/>
    <w:rsid w:val="00820656"/>
    <w:rsid w:val="00820BEE"/>
    <w:rsid w:val="0082240F"/>
    <w:rsid w:val="00823AEA"/>
    <w:rsid w:val="0082510D"/>
    <w:rsid w:val="00826624"/>
    <w:rsid w:val="008277A6"/>
    <w:rsid w:val="00832AB5"/>
    <w:rsid w:val="0083397A"/>
    <w:rsid w:val="00834980"/>
    <w:rsid w:val="00836C97"/>
    <w:rsid w:val="008372C3"/>
    <w:rsid w:val="00842987"/>
    <w:rsid w:val="00842A7D"/>
    <w:rsid w:val="0084430D"/>
    <w:rsid w:val="00844B2C"/>
    <w:rsid w:val="0084545E"/>
    <w:rsid w:val="00847DB4"/>
    <w:rsid w:val="0085034A"/>
    <w:rsid w:val="00851A33"/>
    <w:rsid w:val="0085240F"/>
    <w:rsid w:val="008528E9"/>
    <w:rsid w:val="00852C99"/>
    <w:rsid w:val="00852DB8"/>
    <w:rsid w:val="00855F2B"/>
    <w:rsid w:val="00856AB0"/>
    <w:rsid w:val="00862EBF"/>
    <w:rsid w:val="008706CA"/>
    <w:rsid w:val="00871DE6"/>
    <w:rsid w:val="00871E9B"/>
    <w:rsid w:val="00875E38"/>
    <w:rsid w:val="00876D92"/>
    <w:rsid w:val="00876F0F"/>
    <w:rsid w:val="00884B95"/>
    <w:rsid w:val="00891174"/>
    <w:rsid w:val="00895DEE"/>
    <w:rsid w:val="008966D9"/>
    <w:rsid w:val="0089703A"/>
    <w:rsid w:val="008971F9"/>
    <w:rsid w:val="008A0DB8"/>
    <w:rsid w:val="008A1752"/>
    <w:rsid w:val="008A2AA2"/>
    <w:rsid w:val="008A36D6"/>
    <w:rsid w:val="008A3B0F"/>
    <w:rsid w:val="008A4DD7"/>
    <w:rsid w:val="008A58D6"/>
    <w:rsid w:val="008A6C23"/>
    <w:rsid w:val="008A781C"/>
    <w:rsid w:val="008B2B72"/>
    <w:rsid w:val="008B38DE"/>
    <w:rsid w:val="008B45E3"/>
    <w:rsid w:val="008B7A03"/>
    <w:rsid w:val="008C0ABE"/>
    <w:rsid w:val="008C17FA"/>
    <w:rsid w:val="008C1C04"/>
    <w:rsid w:val="008C2583"/>
    <w:rsid w:val="008C2E76"/>
    <w:rsid w:val="008C3060"/>
    <w:rsid w:val="008C342F"/>
    <w:rsid w:val="008C4199"/>
    <w:rsid w:val="008C52F7"/>
    <w:rsid w:val="008C5810"/>
    <w:rsid w:val="008C616A"/>
    <w:rsid w:val="008C7565"/>
    <w:rsid w:val="008D0493"/>
    <w:rsid w:val="008D1D8D"/>
    <w:rsid w:val="008D4304"/>
    <w:rsid w:val="008D43E9"/>
    <w:rsid w:val="008D457D"/>
    <w:rsid w:val="008D7A9D"/>
    <w:rsid w:val="008E0CA0"/>
    <w:rsid w:val="008E0E78"/>
    <w:rsid w:val="008E217A"/>
    <w:rsid w:val="008E4A94"/>
    <w:rsid w:val="008E4B22"/>
    <w:rsid w:val="008F29C6"/>
    <w:rsid w:val="008F4092"/>
    <w:rsid w:val="008F5EAC"/>
    <w:rsid w:val="008F6F91"/>
    <w:rsid w:val="009016EE"/>
    <w:rsid w:val="009053EB"/>
    <w:rsid w:val="00905FFC"/>
    <w:rsid w:val="00915C9E"/>
    <w:rsid w:val="00915F0E"/>
    <w:rsid w:val="009164CF"/>
    <w:rsid w:val="00917558"/>
    <w:rsid w:val="009206F7"/>
    <w:rsid w:val="00925B65"/>
    <w:rsid w:val="00926161"/>
    <w:rsid w:val="00931CB4"/>
    <w:rsid w:val="009323E5"/>
    <w:rsid w:val="00934095"/>
    <w:rsid w:val="0093413E"/>
    <w:rsid w:val="009342EC"/>
    <w:rsid w:val="00935A0D"/>
    <w:rsid w:val="00936293"/>
    <w:rsid w:val="009368F9"/>
    <w:rsid w:val="00937962"/>
    <w:rsid w:val="00937D0C"/>
    <w:rsid w:val="0094039C"/>
    <w:rsid w:val="00943262"/>
    <w:rsid w:val="00944B58"/>
    <w:rsid w:val="00944C4D"/>
    <w:rsid w:val="00945CB3"/>
    <w:rsid w:val="00947BC7"/>
    <w:rsid w:val="00950477"/>
    <w:rsid w:val="00952E47"/>
    <w:rsid w:val="00955875"/>
    <w:rsid w:val="00956A4D"/>
    <w:rsid w:val="00957966"/>
    <w:rsid w:val="00957F98"/>
    <w:rsid w:val="009609EF"/>
    <w:rsid w:val="00962481"/>
    <w:rsid w:val="00962B6E"/>
    <w:rsid w:val="00967997"/>
    <w:rsid w:val="00970F6B"/>
    <w:rsid w:val="00973804"/>
    <w:rsid w:val="00974C27"/>
    <w:rsid w:val="00980CA6"/>
    <w:rsid w:val="00980E7F"/>
    <w:rsid w:val="0098126F"/>
    <w:rsid w:val="009827F3"/>
    <w:rsid w:val="00986525"/>
    <w:rsid w:val="00990632"/>
    <w:rsid w:val="0099374D"/>
    <w:rsid w:val="00996E42"/>
    <w:rsid w:val="00997C6E"/>
    <w:rsid w:val="009A215B"/>
    <w:rsid w:val="009B118C"/>
    <w:rsid w:val="009B392B"/>
    <w:rsid w:val="009B3BF4"/>
    <w:rsid w:val="009B5E12"/>
    <w:rsid w:val="009B5F2A"/>
    <w:rsid w:val="009C61F1"/>
    <w:rsid w:val="009C6912"/>
    <w:rsid w:val="009C70AE"/>
    <w:rsid w:val="009C7EE9"/>
    <w:rsid w:val="009D090B"/>
    <w:rsid w:val="009D0D96"/>
    <w:rsid w:val="009D1E56"/>
    <w:rsid w:val="009D4EFE"/>
    <w:rsid w:val="009D7E4A"/>
    <w:rsid w:val="009E0717"/>
    <w:rsid w:val="009E277F"/>
    <w:rsid w:val="009E6F0F"/>
    <w:rsid w:val="009E7B40"/>
    <w:rsid w:val="009F07DC"/>
    <w:rsid w:val="009F4403"/>
    <w:rsid w:val="009F61EB"/>
    <w:rsid w:val="009F6B7E"/>
    <w:rsid w:val="009F6E2C"/>
    <w:rsid w:val="009F7474"/>
    <w:rsid w:val="009F7EC5"/>
    <w:rsid w:val="00A02544"/>
    <w:rsid w:val="00A03FEB"/>
    <w:rsid w:val="00A1269C"/>
    <w:rsid w:val="00A13C29"/>
    <w:rsid w:val="00A14F5C"/>
    <w:rsid w:val="00A161F0"/>
    <w:rsid w:val="00A167FA"/>
    <w:rsid w:val="00A171EF"/>
    <w:rsid w:val="00A209A9"/>
    <w:rsid w:val="00A224A6"/>
    <w:rsid w:val="00A230FD"/>
    <w:rsid w:val="00A243FF"/>
    <w:rsid w:val="00A249DA"/>
    <w:rsid w:val="00A25678"/>
    <w:rsid w:val="00A30BF3"/>
    <w:rsid w:val="00A30DB7"/>
    <w:rsid w:val="00A31000"/>
    <w:rsid w:val="00A31C49"/>
    <w:rsid w:val="00A40369"/>
    <w:rsid w:val="00A41176"/>
    <w:rsid w:val="00A4483C"/>
    <w:rsid w:val="00A452A9"/>
    <w:rsid w:val="00A47040"/>
    <w:rsid w:val="00A47A22"/>
    <w:rsid w:val="00A50F93"/>
    <w:rsid w:val="00A52549"/>
    <w:rsid w:val="00A52DDC"/>
    <w:rsid w:val="00A560C7"/>
    <w:rsid w:val="00A57381"/>
    <w:rsid w:val="00A578F9"/>
    <w:rsid w:val="00A608BF"/>
    <w:rsid w:val="00A60C89"/>
    <w:rsid w:val="00A62226"/>
    <w:rsid w:val="00A6653B"/>
    <w:rsid w:val="00A6703C"/>
    <w:rsid w:val="00A70655"/>
    <w:rsid w:val="00A7231E"/>
    <w:rsid w:val="00A752CE"/>
    <w:rsid w:val="00A757E0"/>
    <w:rsid w:val="00A75D0D"/>
    <w:rsid w:val="00A76546"/>
    <w:rsid w:val="00A76B67"/>
    <w:rsid w:val="00A7708F"/>
    <w:rsid w:val="00A808FF"/>
    <w:rsid w:val="00A845B8"/>
    <w:rsid w:val="00A84AC0"/>
    <w:rsid w:val="00A867B6"/>
    <w:rsid w:val="00A91224"/>
    <w:rsid w:val="00A916BD"/>
    <w:rsid w:val="00A94D0E"/>
    <w:rsid w:val="00A95951"/>
    <w:rsid w:val="00AA0C1A"/>
    <w:rsid w:val="00AA0E4B"/>
    <w:rsid w:val="00AA168C"/>
    <w:rsid w:val="00AA2A3E"/>
    <w:rsid w:val="00AA5D4C"/>
    <w:rsid w:val="00AA7E12"/>
    <w:rsid w:val="00AB1D4D"/>
    <w:rsid w:val="00AB356F"/>
    <w:rsid w:val="00AB63E8"/>
    <w:rsid w:val="00AB70D7"/>
    <w:rsid w:val="00AC0B3A"/>
    <w:rsid w:val="00AC5475"/>
    <w:rsid w:val="00AC7272"/>
    <w:rsid w:val="00AD2537"/>
    <w:rsid w:val="00AD2910"/>
    <w:rsid w:val="00AD3ED8"/>
    <w:rsid w:val="00AD43A8"/>
    <w:rsid w:val="00AD48D7"/>
    <w:rsid w:val="00AE1CB6"/>
    <w:rsid w:val="00AE2D54"/>
    <w:rsid w:val="00AE426D"/>
    <w:rsid w:val="00AE57CA"/>
    <w:rsid w:val="00AF1507"/>
    <w:rsid w:val="00AF27D2"/>
    <w:rsid w:val="00AF2CB5"/>
    <w:rsid w:val="00AF32AB"/>
    <w:rsid w:val="00AF4D41"/>
    <w:rsid w:val="00AF5228"/>
    <w:rsid w:val="00AF6727"/>
    <w:rsid w:val="00AF6743"/>
    <w:rsid w:val="00AF67CE"/>
    <w:rsid w:val="00AF6E96"/>
    <w:rsid w:val="00B00453"/>
    <w:rsid w:val="00B01ACC"/>
    <w:rsid w:val="00B1016D"/>
    <w:rsid w:val="00B13916"/>
    <w:rsid w:val="00B1605E"/>
    <w:rsid w:val="00B16153"/>
    <w:rsid w:val="00B16F80"/>
    <w:rsid w:val="00B1702C"/>
    <w:rsid w:val="00B24E63"/>
    <w:rsid w:val="00B30424"/>
    <w:rsid w:val="00B30978"/>
    <w:rsid w:val="00B30E5B"/>
    <w:rsid w:val="00B34EFB"/>
    <w:rsid w:val="00B35889"/>
    <w:rsid w:val="00B36A79"/>
    <w:rsid w:val="00B36AC7"/>
    <w:rsid w:val="00B376D4"/>
    <w:rsid w:val="00B37EE5"/>
    <w:rsid w:val="00B44386"/>
    <w:rsid w:val="00B45A05"/>
    <w:rsid w:val="00B476F7"/>
    <w:rsid w:val="00B529DC"/>
    <w:rsid w:val="00B52D60"/>
    <w:rsid w:val="00B568E6"/>
    <w:rsid w:val="00B579EF"/>
    <w:rsid w:val="00B57F9A"/>
    <w:rsid w:val="00B57FC7"/>
    <w:rsid w:val="00B60F32"/>
    <w:rsid w:val="00B6168B"/>
    <w:rsid w:val="00B6218E"/>
    <w:rsid w:val="00B624D6"/>
    <w:rsid w:val="00B64E74"/>
    <w:rsid w:val="00B65246"/>
    <w:rsid w:val="00B73886"/>
    <w:rsid w:val="00B755F6"/>
    <w:rsid w:val="00B76039"/>
    <w:rsid w:val="00B81278"/>
    <w:rsid w:val="00B819C3"/>
    <w:rsid w:val="00B81C9A"/>
    <w:rsid w:val="00B8238E"/>
    <w:rsid w:val="00B83006"/>
    <w:rsid w:val="00B83DA7"/>
    <w:rsid w:val="00B843DC"/>
    <w:rsid w:val="00B849FB"/>
    <w:rsid w:val="00B85F9F"/>
    <w:rsid w:val="00B87695"/>
    <w:rsid w:val="00B87EC1"/>
    <w:rsid w:val="00B9170D"/>
    <w:rsid w:val="00B92570"/>
    <w:rsid w:val="00B93136"/>
    <w:rsid w:val="00B93E8D"/>
    <w:rsid w:val="00BA1403"/>
    <w:rsid w:val="00BA22D1"/>
    <w:rsid w:val="00BA3B4E"/>
    <w:rsid w:val="00BA666A"/>
    <w:rsid w:val="00BA66FB"/>
    <w:rsid w:val="00BB1284"/>
    <w:rsid w:val="00BB2440"/>
    <w:rsid w:val="00BB69B2"/>
    <w:rsid w:val="00BB7CEC"/>
    <w:rsid w:val="00BC142B"/>
    <w:rsid w:val="00BC1783"/>
    <w:rsid w:val="00BC18B7"/>
    <w:rsid w:val="00BC1BF1"/>
    <w:rsid w:val="00BC29AF"/>
    <w:rsid w:val="00BC313D"/>
    <w:rsid w:val="00BC37E4"/>
    <w:rsid w:val="00BC5659"/>
    <w:rsid w:val="00BC6379"/>
    <w:rsid w:val="00BC752C"/>
    <w:rsid w:val="00BD0FAD"/>
    <w:rsid w:val="00BD1397"/>
    <w:rsid w:val="00BD15FA"/>
    <w:rsid w:val="00BD2182"/>
    <w:rsid w:val="00BD3564"/>
    <w:rsid w:val="00BD58AE"/>
    <w:rsid w:val="00BD6AB0"/>
    <w:rsid w:val="00BD6E6A"/>
    <w:rsid w:val="00BD76BA"/>
    <w:rsid w:val="00BE01E7"/>
    <w:rsid w:val="00BE0D3A"/>
    <w:rsid w:val="00BE20DB"/>
    <w:rsid w:val="00BE270C"/>
    <w:rsid w:val="00BE5945"/>
    <w:rsid w:val="00BE6055"/>
    <w:rsid w:val="00BE7103"/>
    <w:rsid w:val="00BF3014"/>
    <w:rsid w:val="00BF3624"/>
    <w:rsid w:val="00BF48C0"/>
    <w:rsid w:val="00BF4B28"/>
    <w:rsid w:val="00BF5094"/>
    <w:rsid w:val="00BF724C"/>
    <w:rsid w:val="00BF7B05"/>
    <w:rsid w:val="00C00CD9"/>
    <w:rsid w:val="00C01963"/>
    <w:rsid w:val="00C041A7"/>
    <w:rsid w:val="00C073DB"/>
    <w:rsid w:val="00C076B9"/>
    <w:rsid w:val="00C12464"/>
    <w:rsid w:val="00C13B7B"/>
    <w:rsid w:val="00C15350"/>
    <w:rsid w:val="00C16478"/>
    <w:rsid w:val="00C165F8"/>
    <w:rsid w:val="00C17195"/>
    <w:rsid w:val="00C21085"/>
    <w:rsid w:val="00C224A3"/>
    <w:rsid w:val="00C22529"/>
    <w:rsid w:val="00C23811"/>
    <w:rsid w:val="00C25B4F"/>
    <w:rsid w:val="00C31D73"/>
    <w:rsid w:val="00C337E0"/>
    <w:rsid w:val="00C33B76"/>
    <w:rsid w:val="00C34C08"/>
    <w:rsid w:val="00C36473"/>
    <w:rsid w:val="00C366AC"/>
    <w:rsid w:val="00C36B2E"/>
    <w:rsid w:val="00C40655"/>
    <w:rsid w:val="00C4161F"/>
    <w:rsid w:val="00C42171"/>
    <w:rsid w:val="00C42EC9"/>
    <w:rsid w:val="00C42FE7"/>
    <w:rsid w:val="00C50BBA"/>
    <w:rsid w:val="00C54D7A"/>
    <w:rsid w:val="00C54DC3"/>
    <w:rsid w:val="00C55501"/>
    <w:rsid w:val="00C6291C"/>
    <w:rsid w:val="00C63FDE"/>
    <w:rsid w:val="00C66421"/>
    <w:rsid w:val="00C70742"/>
    <w:rsid w:val="00C71243"/>
    <w:rsid w:val="00C71D10"/>
    <w:rsid w:val="00C72B91"/>
    <w:rsid w:val="00C74C27"/>
    <w:rsid w:val="00C77906"/>
    <w:rsid w:val="00C84897"/>
    <w:rsid w:val="00C86EEF"/>
    <w:rsid w:val="00C874C5"/>
    <w:rsid w:val="00C901B6"/>
    <w:rsid w:val="00C904B5"/>
    <w:rsid w:val="00C93F69"/>
    <w:rsid w:val="00C940D2"/>
    <w:rsid w:val="00C9650D"/>
    <w:rsid w:val="00C97052"/>
    <w:rsid w:val="00C97772"/>
    <w:rsid w:val="00C97A6F"/>
    <w:rsid w:val="00CA1FB4"/>
    <w:rsid w:val="00CA27A2"/>
    <w:rsid w:val="00CA57E4"/>
    <w:rsid w:val="00CA5F88"/>
    <w:rsid w:val="00CB0257"/>
    <w:rsid w:val="00CB65A5"/>
    <w:rsid w:val="00CC3242"/>
    <w:rsid w:val="00CC3B58"/>
    <w:rsid w:val="00CC446F"/>
    <w:rsid w:val="00CC67B2"/>
    <w:rsid w:val="00CD0091"/>
    <w:rsid w:val="00CD00BB"/>
    <w:rsid w:val="00CD15EC"/>
    <w:rsid w:val="00CD16CE"/>
    <w:rsid w:val="00CD1F1E"/>
    <w:rsid w:val="00CD2240"/>
    <w:rsid w:val="00CD4068"/>
    <w:rsid w:val="00CD4968"/>
    <w:rsid w:val="00CE3065"/>
    <w:rsid w:val="00CE368C"/>
    <w:rsid w:val="00CE5B42"/>
    <w:rsid w:val="00CF23EA"/>
    <w:rsid w:val="00CF3067"/>
    <w:rsid w:val="00CF48E3"/>
    <w:rsid w:val="00CF6567"/>
    <w:rsid w:val="00CF7951"/>
    <w:rsid w:val="00D00A91"/>
    <w:rsid w:val="00D02A14"/>
    <w:rsid w:val="00D03559"/>
    <w:rsid w:val="00D04B31"/>
    <w:rsid w:val="00D059C7"/>
    <w:rsid w:val="00D07A9C"/>
    <w:rsid w:val="00D1003D"/>
    <w:rsid w:val="00D10635"/>
    <w:rsid w:val="00D15492"/>
    <w:rsid w:val="00D167CE"/>
    <w:rsid w:val="00D16982"/>
    <w:rsid w:val="00D175F0"/>
    <w:rsid w:val="00D21E2E"/>
    <w:rsid w:val="00D22B40"/>
    <w:rsid w:val="00D2305D"/>
    <w:rsid w:val="00D2391E"/>
    <w:rsid w:val="00D2458B"/>
    <w:rsid w:val="00D24948"/>
    <w:rsid w:val="00D25476"/>
    <w:rsid w:val="00D278DD"/>
    <w:rsid w:val="00D27F33"/>
    <w:rsid w:val="00D30D2D"/>
    <w:rsid w:val="00D3105C"/>
    <w:rsid w:val="00D31DDD"/>
    <w:rsid w:val="00D331E6"/>
    <w:rsid w:val="00D33E6C"/>
    <w:rsid w:val="00D4229A"/>
    <w:rsid w:val="00D44C3B"/>
    <w:rsid w:val="00D4566A"/>
    <w:rsid w:val="00D53547"/>
    <w:rsid w:val="00D53C66"/>
    <w:rsid w:val="00D542A4"/>
    <w:rsid w:val="00D54F92"/>
    <w:rsid w:val="00D57873"/>
    <w:rsid w:val="00D603EB"/>
    <w:rsid w:val="00D60548"/>
    <w:rsid w:val="00D60DDB"/>
    <w:rsid w:val="00D62E68"/>
    <w:rsid w:val="00D62FF9"/>
    <w:rsid w:val="00D63DDA"/>
    <w:rsid w:val="00D655B8"/>
    <w:rsid w:val="00D65A67"/>
    <w:rsid w:val="00D663F9"/>
    <w:rsid w:val="00D66A78"/>
    <w:rsid w:val="00D704A2"/>
    <w:rsid w:val="00D7368C"/>
    <w:rsid w:val="00D74444"/>
    <w:rsid w:val="00D75381"/>
    <w:rsid w:val="00D75AFD"/>
    <w:rsid w:val="00D75B10"/>
    <w:rsid w:val="00D7777C"/>
    <w:rsid w:val="00D80990"/>
    <w:rsid w:val="00D80F05"/>
    <w:rsid w:val="00D8578D"/>
    <w:rsid w:val="00D90ECC"/>
    <w:rsid w:val="00D9224B"/>
    <w:rsid w:val="00D92F81"/>
    <w:rsid w:val="00D9390A"/>
    <w:rsid w:val="00D9414C"/>
    <w:rsid w:val="00D95E8E"/>
    <w:rsid w:val="00D96508"/>
    <w:rsid w:val="00D97D13"/>
    <w:rsid w:val="00DA02FC"/>
    <w:rsid w:val="00DA0902"/>
    <w:rsid w:val="00DA0E1D"/>
    <w:rsid w:val="00DA1B0D"/>
    <w:rsid w:val="00DA200E"/>
    <w:rsid w:val="00DA4C48"/>
    <w:rsid w:val="00DB0287"/>
    <w:rsid w:val="00DB0ED2"/>
    <w:rsid w:val="00DB1597"/>
    <w:rsid w:val="00DB1D37"/>
    <w:rsid w:val="00DB23C9"/>
    <w:rsid w:val="00DB5773"/>
    <w:rsid w:val="00DB5BFE"/>
    <w:rsid w:val="00DB68F2"/>
    <w:rsid w:val="00DB7F7F"/>
    <w:rsid w:val="00DC06B2"/>
    <w:rsid w:val="00DC11F4"/>
    <w:rsid w:val="00DC554E"/>
    <w:rsid w:val="00DC66D8"/>
    <w:rsid w:val="00DC746B"/>
    <w:rsid w:val="00DC76C3"/>
    <w:rsid w:val="00DD134B"/>
    <w:rsid w:val="00DD2D0E"/>
    <w:rsid w:val="00DD31D5"/>
    <w:rsid w:val="00DD3C92"/>
    <w:rsid w:val="00DD5332"/>
    <w:rsid w:val="00DD6494"/>
    <w:rsid w:val="00DE084F"/>
    <w:rsid w:val="00DE09DF"/>
    <w:rsid w:val="00DE1B2C"/>
    <w:rsid w:val="00DE257D"/>
    <w:rsid w:val="00DE2ADF"/>
    <w:rsid w:val="00DE2B62"/>
    <w:rsid w:val="00DE6976"/>
    <w:rsid w:val="00DE7163"/>
    <w:rsid w:val="00DE742E"/>
    <w:rsid w:val="00DF15EC"/>
    <w:rsid w:val="00DF19EA"/>
    <w:rsid w:val="00DF3111"/>
    <w:rsid w:val="00DF3DF2"/>
    <w:rsid w:val="00DF4F41"/>
    <w:rsid w:val="00DF58B2"/>
    <w:rsid w:val="00DF6DF6"/>
    <w:rsid w:val="00E01119"/>
    <w:rsid w:val="00E02E54"/>
    <w:rsid w:val="00E030AF"/>
    <w:rsid w:val="00E04112"/>
    <w:rsid w:val="00E04CBA"/>
    <w:rsid w:val="00E0787B"/>
    <w:rsid w:val="00E12E87"/>
    <w:rsid w:val="00E16044"/>
    <w:rsid w:val="00E16D5D"/>
    <w:rsid w:val="00E17DA1"/>
    <w:rsid w:val="00E2043D"/>
    <w:rsid w:val="00E270CB"/>
    <w:rsid w:val="00E32981"/>
    <w:rsid w:val="00E32F9E"/>
    <w:rsid w:val="00E32FB6"/>
    <w:rsid w:val="00E33A08"/>
    <w:rsid w:val="00E33FF7"/>
    <w:rsid w:val="00E37F6E"/>
    <w:rsid w:val="00E41183"/>
    <w:rsid w:val="00E4126C"/>
    <w:rsid w:val="00E439B0"/>
    <w:rsid w:val="00E47DD5"/>
    <w:rsid w:val="00E50E29"/>
    <w:rsid w:val="00E52FDE"/>
    <w:rsid w:val="00E56EA5"/>
    <w:rsid w:val="00E602C2"/>
    <w:rsid w:val="00E60C4D"/>
    <w:rsid w:val="00E6171B"/>
    <w:rsid w:val="00E635D3"/>
    <w:rsid w:val="00E66676"/>
    <w:rsid w:val="00E66AF9"/>
    <w:rsid w:val="00E67753"/>
    <w:rsid w:val="00E7114A"/>
    <w:rsid w:val="00E71BE2"/>
    <w:rsid w:val="00E77020"/>
    <w:rsid w:val="00E813F6"/>
    <w:rsid w:val="00E81719"/>
    <w:rsid w:val="00E83854"/>
    <w:rsid w:val="00E90DBE"/>
    <w:rsid w:val="00E9213A"/>
    <w:rsid w:val="00E93436"/>
    <w:rsid w:val="00E9387D"/>
    <w:rsid w:val="00E94715"/>
    <w:rsid w:val="00E94BF0"/>
    <w:rsid w:val="00EA13EC"/>
    <w:rsid w:val="00EA43F9"/>
    <w:rsid w:val="00EA47FC"/>
    <w:rsid w:val="00EA5C99"/>
    <w:rsid w:val="00EA62B8"/>
    <w:rsid w:val="00EB0DAB"/>
    <w:rsid w:val="00EB17FF"/>
    <w:rsid w:val="00EB2316"/>
    <w:rsid w:val="00EB409D"/>
    <w:rsid w:val="00EC06A0"/>
    <w:rsid w:val="00EC1044"/>
    <w:rsid w:val="00EC3AF0"/>
    <w:rsid w:val="00EC76A6"/>
    <w:rsid w:val="00EC7CA7"/>
    <w:rsid w:val="00ED00E1"/>
    <w:rsid w:val="00ED2594"/>
    <w:rsid w:val="00ED27D3"/>
    <w:rsid w:val="00ED367E"/>
    <w:rsid w:val="00ED5724"/>
    <w:rsid w:val="00ED5EE4"/>
    <w:rsid w:val="00ED7887"/>
    <w:rsid w:val="00EE200E"/>
    <w:rsid w:val="00EE302F"/>
    <w:rsid w:val="00EE3A3C"/>
    <w:rsid w:val="00EE40A4"/>
    <w:rsid w:val="00EE506B"/>
    <w:rsid w:val="00EE515D"/>
    <w:rsid w:val="00EF04E8"/>
    <w:rsid w:val="00EF05AC"/>
    <w:rsid w:val="00EF11F2"/>
    <w:rsid w:val="00EF1AAA"/>
    <w:rsid w:val="00EF2289"/>
    <w:rsid w:val="00EF34C0"/>
    <w:rsid w:val="00EF52E9"/>
    <w:rsid w:val="00EF5A41"/>
    <w:rsid w:val="00EF5D65"/>
    <w:rsid w:val="00F0183A"/>
    <w:rsid w:val="00F0303B"/>
    <w:rsid w:val="00F03B5C"/>
    <w:rsid w:val="00F03C15"/>
    <w:rsid w:val="00F10786"/>
    <w:rsid w:val="00F1201E"/>
    <w:rsid w:val="00F12693"/>
    <w:rsid w:val="00F13B9B"/>
    <w:rsid w:val="00F15D8A"/>
    <w:rsid w:val="00F15D8D"/>
    <w:rsid w:val="00F21756"/>
    <w:rsid w:val="00F25941"/>
    <w:rsid w:val="00F259F5"/>
    <w:rsid w:val="00F25E77"/>
    <w:rsid w:val="00F26CE7"/>
    <w:rsid w:val="00F2742D"/>
    <w:rsid w:val="00F31330"/>
    <w:rsid w:val="00F31629"/>
    <w:rsid w:val="00F342C8"/>
    <w:rsid w:val="00F36A3D"/>
    <w:rsid w:val="00F37811"/>
    <w:rsid w:val="00F40217"/>
    <w:rsid w:val="00F408D8"/>
    <w:rsid w:val="00F43D1A"/>
    <w:rsid w:val="00F440DB"/>
    <w:rsid w:val="00F44882"/>
    <w:rsid w:val="00F4651F"/>
    <w:rsid w:val="00F47676"/>
    <w:rsid w:val="00F47AF9"/>
    <w:rsid w:val="00F502AB"/>
    <w:rsid w:val="00F50B0B"/>
    <w:rsid w:val="00F51907"/>
    <w:rsid w:val="00F5272A"/>
    <w:rsid w:val="00F53B69"/>
    <w:rsid w:val="00F544DC"/>
    <w:rsid w:val="00F608C0"/>
    <w:rsid w:val="00F62604"/>
    <w:rsid w:val="00F6270E"/>
    <w:rsid w:val="00F633DE"/>
    <w:rsid w:val="00F65D44"/>
    <w:rsid w:val="00F710BE"/>
    <w:rsid w:val="00F742D4"/>
    <w:rsid w:val="00F74F01"/>
    <w:rsid w:val="00F75D36"/>
    <w:rsid w:val="00F762A1"/>
    <w:rsid w:val="00F771BA"/>
    <w:rsid w:val="00F81A3C"/>
    <w:rsid w:val="00F83E0C"/>
    <w:rsid w:val="00F855D1"/>
    <w:rsid w:val="00F85FC4"/>
    <w:rsid w:val="00F863A5"/>
    <w:rsid w:val="00F877F0"/>
    <w:rsid w:val="00F92E01"/>
    <w:rsid w:val="00F92FC0"/>
    <w:rsid w:val="00F94622"/>
    <w:rsid w:val="00F94914"/>
    <w:rsid w:val="00F96081"/>
    <w:rsid w:val="00FA2972"/>
    <w:rsid w:val="00FA2B2F"/>
    <w:rsid w:val="00FA3810"/>
    <w:rsid w:val="00FA7B63"/>
    <w:rsid w:val="00FB09FE"/>
    <w:rsid w:val="00FB2C14"/>
    <w:rsid w:val="00FB2C5E"/>
    <w:rsid w:val="00FC0018"/>
    <w:rsid w:val="00FC112C"/>
    <w:rsid w:val="00FC4B14"/>
    <w:rsid w:val="00FC617D"/>
    <w:rsid w:val="00FD19CA"/>
    <w:rsid w:val="00FD55A3"/>
    <w:rsid w:val="00FE0050"/>
    <w:rsid w:val="00FE17C8"/>
    <w:rsid w:val="00FE3641"/>
    <w:rsid w:val="00FE6DF6"/>
    <w:rsid w:val="00FE766C"/>
    <w:rsid w:val="00FE7F95"/>
    <w:rsid w:val="00FF0985"/>
    <w:rsid w:val="00FF277C"/>
    <w:rsid w:val="00FF47D6"/>
    <w:rsid w:val="00FF6C80"/>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AD82461"/>
  <w15:docId w15:val="{04EDD697-C61F-4B2F-B8F2-5E89B033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D0E"/>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7997"/>
    <w:rPr>
      <w:rFonts w:ascii="Lucida Grande" w:hAnsi="Lucida Grande"/>
      <w:sz w:val="18"/>
      <w:szCs w:val="18"/>
    </w:rPr>
  </w:style>
  <w:style w:type="character" w:customStyle="1" w:styleId="BalloonTextChar">
    <w:name w:val="Balloon Text Char"/>
    <w:basedOn w:val="DefaultParagraphFont"/>
    <w:link w:val="BalloonText"/>
    <w:uiPriority w:val="99"/>
    <w:semiHidden/>
    <w:rsid w:val="00967997"/>
    <w:rPr>
      <w:rFonts w:ascii="Lucida Grande" w:hAnsi="Lucida Grande"/>
      <w:sz w:val="18"/>
      <w:szCs w:val="18"/>
    </w:rPr>
  </w:style>
  <w:style w:type="paragraph" w:styleId="Header">
    <w:name w:val="header"/>
    <w:basedOn w:val="Normal"/>
    <w:link w:val="HeaderChar"/>
    <w:uiPriority w:val="99"/>
    <w:unhideWhenUsed/>
    <w:rsid w:val="00E33FF7"/>
    <w:pPr>
      <w:tabs>
        <w:tab w:val="center" w:pos="4680"/>
        <w:tab w:val="right" w:pos="9360"/>
      </w:tabs>
    </w:pPr>
  </w:style>
  <w:style w:type="character" w:customStyle="1" w:styleId="HeaderChar">
    <w:name w:val="Header Char"/>
    <w:basedOn w:val="DefaultParagraphFont"/>
    <w:link w:val="Header"/>
    <w:uiPriority w:val="99"/>
    <w:rsid w:val="00E33FF7"/>
    <w:rPr>
      <w:rFonts w:ascii="Times New Roman" w:hAnsi="Times New Roman"/>
    </w:rPr>
  </w:style>
  <w:style w:type="paragraph" w:styleId="Footer">
    <w:name w:val="footer"/>
    <w:basedOn w:val="Normal"/>
    <w:link w:val="FooterChar"/>
    <w:uiPriority w:val="99"/>
    <w:unhideWhenUsed/>
    <w:rsid w:val="00E33FF7"/>
    <w:pPr>
      <w:tabs>
        <w:tab w:val="center" w:pos="4680"/>
        <w:tab w:val="right" w:pos="9360"/>
      </w:tabs>
    </w:pPr>
  </w:style>
  <w:style w:type="character" w:customStyle="1" w:styleId="FooterChar">
    <w:name w:val="Footer Char"/>
    <w:basedOn w:val="DefaultParagraphFont"/>
    <w:link w:val="Footer"/>
    <w:uiPriority w:val="99"/>
    <w:rsid w:val="00E33FF7"/>
    <w:rPr>
      <w:rFonts w:ascii="Times New Roman" w:hAnsi="Times New Roman"/>
    </w:rPr>
  </w:style>
  <w:style w:type="character" w:styleId="CommentReference">
    <w:name w:val="annotation reference"/>
    <w:basedOn w:val="DefaultParagraphFont"/>
    <w:uiPriority w:val="99"/>
    <w:semiHidden/>
    <w:unhideWhenUsed/>
    <w:rsid w:val="001C4026"/>
    <w:rPr>
      <w:sz w:val="16"/>
      <w:szCs w:val="16"/>
    </w:rPr>
  </w:style>
  <w:style w:type="paragraph" w:styleId="CommentText">
    <w:name w:val="annotation text"/>
    <w:basedOn w:val="Normal"/>
    <w:link w:val="CommentTextChar"/>
    <w:uiPriority w:val="99"/>
    <w:semiHidden/>
    <w:unhideWhenUsed/>
    <w:rsid w:val="001C4026"/>
    <w:rPr>
      <w:sz w:val="20"/>
      <w:szCs w:val="20"/>
    </w:rPr>
  </w:style>
  <w:style w:type="character" w:customStyle="1" w:styleId="CommentTextChar">
    <w:name w:val="Comment Text Char"/>
    <w:basedOn w:val="DefaultParagraphFont"/>
    <w:link w:val="CommentText"/>
    <w:uiPriority w:val="99"/>
    <w:semiHidden/>
    <w:rsid w:val="001C402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C4026"/>
    <w:rPr>
      <w:b/>
      <w:bCs/>
    </w:rPr>
  </w:style>
  <w:style w:type="character" w:customStyle="1" w:styleId="CommentSubjectChar">
    <w:name w:val="Comment Subject Char"/>
    <w:basedOn w:val="CommentTextChar"/>
    <w:link w:val="CommentSubject"/>
    <w:uiPriority w:val="99"/>
    <w:semiHidden/>
    <w:rsid w:val="001C4026"/>
    <w:rPr>
      <w:rFonts w:ascii="Times New Roman" w:hAnsi="Times New Roman"/>
      <w:b/>
      <w:bCs/>
      <w:sz w:val="20"/>
      <w:szCs w:val="20"/>
    </w:rPr>
  </w:style>
  <w:style w:type="paragraph" w:styleId="Revision">
    <w:name w:val="Revision"/>
    <w:hidden/>
    <w:uiPriority w:val="99"/>
    <w:semiHidden/>
    <w:rsid w:val="004A61EE"/>
    <w:pPr>
      <w:spacing w:after="0" w:line="240" w:lineRule="auto"/>
    </w:pPr>
    <w:rPr>
      <w:rFonts w:ascii="Times New Roman" w:hAnsi="Times New Roman"/>
    </w:rPr>
  </w:style>
  <w:style w:type="character" w:styleId="PlaceholderText">
    <w:name w:val="Placeholder Text"/>
    <w:basedOn w:val="DefaultParagraphFont"/>
    <w:uiPriority w:val="99"/>
    <w:semiHidden/>
    <w:rsid w:val="00674F7E"/>
    <w:rPr>
      <w:color w:val="808080"/>
    </w:rPr>
  </w:style>
  <w:style w:type="character" w:customStyle="1" w:styleId="apple-converted-space">
    <w:name w:val="apple-converted-space"/>
    <w:basedOn w:val="DefaultParagraphFont"/>
    <w:rsid w:val="00073474"/>
  </w:style>
  <w:style w:type="paragraph" w:customStyle="1" w:styleId="Default">
    <w:name w:val="Default"/>
    <w:rsid w:val="009609E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66A78"/>
    <w:rPr>
      <w:color w:val="0000FF" w:themeColor="hyperlink"/>
      <w:u w:val="single"/>
    </w:rPr>
  </w:style>
  <w:style w:type="character" w:styleId="UnresolvedMention">
    <w:name w:val="Unresolved Mention"/>
    <w:basedOn w:val="DefaultParagraphFont"/>
    <w:uiPriority w:val="99"/>
    <w:semiHidden/>
    <w:unhideWhenUsed/>
    <w:rsid w:val="00D66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20240">
      <w:bodyDiv w:val="1"/>
      <w:marLeft w:val="0"/>
      <w:marRight w:val="0"/>
      <w:marTop w:val="0"/>
      <w:marBottom w:val="0"/>
      <w:divBdr>
        <w:top w:val="none" w:sz="0" w:space="0" w:color="auto"/>
        <w:left w:val="none" w:sz="0" w:space="0" w:color="auto"/>
        <w:bottom w:val="none" w:sz="0" w:space="0" w:color="auto"/>
        <w:right w:val="none" w:sz="0" w:space="0" w:color="auto"/>
      </w:divBdr>
      <w:divsChild>
        <w:div w:id="1837333813">
          <w:marLeft w:val="0"/>
          <w:marRight w:val="0"/>
          <w:marTop w:val="0"/>
          <w:marBottom w:val="0"/>
          <w:divBdr>
            <w:top w:val="none" w:sz="0" w:space="0" w:color="auto"/>
            <w:left w:val="none" w:sz="0" w:space="0" w:color="auto"/>
            <w:bottom w:val="none" w:sz="0" w:space="0" w:color="auto"/>
            <w:right w:val="none" w:sz="0" w:space="0" w:color="auto"/>
          </w:divBdr>
        </w:div>
      </w:divsChild>
    </w:div>
    <w:div w:id="871723274">
      <w:bodyDiv w:val="1"/>
      <w:marLeft w:val="0"/>
      <w:marRight w:val="0"/>
      <w:marTop w:val="0"/>
      <w:marBottom w:val="0"/>
      <w:divBdr>
        <w:top w:val="none" w:sz="0" w:space="0" w:color="auto"/>
        <w:left w:val="none" w:sz="0" w:space="0" w:color="auto"/>
        <w:bottom w:val="none" w:sz="0" w:space="0" w:color="auto"/>
        <w:right w:val="none" w:sz="0" w:space="0" w:color="auto"/>
      </w:divBdr>
    </w:div>
    <w:div w:id="1050763898">
      <w:bodyDiv w:val="1"/>
      <w:marLeft w:val="0"/>
      <w:marRight w:val="0"/>
      <w:marTop w:val="0"/>
      <w:marBottom w:val="0"/>
      <w:divBdr>
        <w:top w:val="none" w:sz="0" w:space="0" w:color="auto"/>
        <w:left w:val="none" w:sz="0" w:space="0" w:color="auto"/>
        <w:bottom w:val="none" w:sz="0" w:space="0" w:color="auto"/>
        <w:right w:val="none" w:sz="0" w:space="0" w:color="auto"/>
      </w:divBdr>
      <w:divsChild>
        <w:div w:id="582957062">
          <w:marLeft w:val="0"/>
          <w:marRight w:val="0"/>
          <w:marTop w:val="0"/>
          <w:marBottom w:val="0"/>
          <w:divBdr>
            <w:top w:val="none" w:sz="0" w:space="0" w:color="auto"/>
            <w:left w:val="none" w:sz="0" w:space="0" w:color="auto"/>
            <w:bottom w:val="none" w:sz="0" w:space="0" w:color="auto"/>
            <w:right w:val="none" w:sz="0" w:space="0" w:color="auto"/>
          </w:divBdr>
        </w:div>
        <w:div w:id="1231237087">
          <w:marLeft w:val="0"/>
          <w:marRight w:val="0"/>
          <w:marTop w:val="0"/>
          <w:marBottom w:val="0"/>
          <w:divBdr>
            <w:top w:val="none" w:sz="0" w:space="0" w:color="auto"/>
            <w:left w:val="none" w:sz="0" w:space="0" w:color="auto"/>
            <w:bottom w:val="none" w:sz="0" w:space="0" w:color="auto"/>
            <w:right w:val="none" w:sz="0" w:space="0" w:color="auto"/>
          </w:divBdr>
        </w:div>
        <w:div w:id="595409565">
          <w:marLeft w:val="0"/>
          <w:marRight w:val="0"/>
          <w:marTop w:val="0"/>
          <w:marBottom w:val="0"/>
          <w:divBdr>
            <w:top w:val="none" w:sz="0" w:space="0" w:color="auto"/>
            <w:left w:val="none" w:sz="0" w:space="0" w:color="auto"/>
            <w:bottom w:val="none" w:sz="0" w:space="0" w:color="auto"/>
            <w:right w:val="none" w:sz="0" w:space="0" w:color="auto"/>
          </w:divBdr>
        </w:div>
      </w:divsChild>
    </w:div>
    <w:div w:id="1489401943">
      <w:bodyDiv w:val="1"/>
      <w:marLeft w:val="0"/>
      <w:marRight w:val="0"/>
      <w:marTop w:val="0"/>
      <w:marBottom w:val="0"/>
      <w:divBdr>
        <w:top w:val="none" w:sz="0" w:space="0" w:color="auto"/>
        <w:left w:val="none" w:sz="0" w:space="0" w:color="auto"/>
        <w:bottom w:val="none" w:sz="0" w:space="0" w:color="auto"/>
        <w:right w:val="none" w:sz="0" w:space="0" w:color="auto"/>
      </w:divBdr>
      <w:divsChild>
        <w:div w:id="863832107">
          <w:marLeft w:val="0"/>
          <w:marRight w:val="0"/>
          <w:marTop w:val="0"/>
          <w:marBottom w:val="0"/>
          <w:divBdr>
            <w:top w:val="none" w:sz="0" w:space="0" w:color="auto"/>
            <w:left w:val="none" w:sz="0" w:space="0" w:color="auto"/>
            <w:bottom w:val="none" w:sz="0" w:space="0" w:color="auto"/>
            <w:right w:val="none" w:sz="0" w:space="0" w:color="auto"/>
          </w:divBdr>
        </w:div>
        <w:div w:id="1400326438">
          <w:marLeft w:val="0"/>
          <w:marRight w:val="0"/>
          <w:marTop w:val="0"/>
          <w:marBottom w:val="0"/>
          <w:divBdr>
            <w:top w:val="none" w:sz="0" w:space="0" w:color="auto"/>
            <w:left w:val="none" w:sz="0" w:space="0" w:color="auto"/>
            <w:bottom w:val="none" w:sz="0" w:space="0" w:color="auto"/>
            <w:right w:val="none" w:sz="0" w:space="0" w:color="auto"/>
          </w:divBdr>
        </w:div>
      </w:divsChild>
    </w:div>
    <w:div w:id="1727218032">
      <w:bodyDiv w:val="1"/>
      <w:marLeft w:val="0"/>
      <w:marRight w:val="0"/>
      <w:marTop w:val="0"/>
      <w:marBottom w:val="0"/>
      <w:divBdr>
        <w:top w:val="none" w:sz="0" w:space="0" w:color="auto"/>
        <w:left w:val="none" w:sz="0" w:space="0" w:color="auto"/>
        <w:bottom w:val="none" w:sz="0" w:space="0" w:color="auto"/>
        <w:right w:val="none" w:sz="0" w:space="0" w:color="auto"/>
      </w:divBdr>
      <w:divsChild>
        <w:div w:id="1052390398">
          <w:marLeft w:val="0"/>
          <w:marRight w:val="0"/>
          <w:marTop w:val="0"/>
          <w:marBottom w:val="0"/>
          <w:divBdr>
            <w:top w:val="none" w:sz="0" w:space="0" w:color="auto"/>
            <w:left w:val="none" w:sz="0" w:space="0" w:color="auto"/>
            <w:bottom w:val="none" w:sz="0" w:space="0" w:color="auto"/>
            <w:right w:val="none" w:sz="0" w:space="0" w:color="auto"/>
          </w:divBdr>
        </w:div>
        <w:div w:id="1087188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E7A2D-C3F5-44EE-90B0-0F93650BD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Evans</dc:creator>
  <cp:lastModifiedBy>Sam Cunningham</cp:lastModifiedBy>
  <cp:revision>3</cp:revision>
  <cp:lastPrinted>2018-09-20T00:40:00Z</cp:lastPrinted>
  <dcterms:created xsi:type="dcterms:W3CDTF">2021-03-18T03:53:00Z</dcterms:created>
  <dcterms:modified xsi:type="dcterms:W3CDTF">2021-03-18T03:58:00Z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1577693412</vt:i4>
  </property>
</Properties>
</file>