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4F" w:rsidRDefault="00530E4F" w:rsidP="00530E4F">
      <w:r>
        <w:rPr>
          <w:noProof/>
        </w:rPr>
        <w:drawing>
          <wp:inline distT="0" distB="0" distL="0" distR="0" wp14:anchorId="51E20A74" wp14:editId="67B7E339">
            <wp:extent cx="4886325" cy="4229100"/>
            <wp:effectExtent l="0" t="0" r="0" b="0"/>
            <wp:docPr id="11" name="Picture 2" descr="NewQAreas'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QAreas'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E4F" w:rsidRDefault="00530E4F" w:rsidP="00530E4F"/>
    <w:p w:rsidR="00530E4F" w:rsidRDefault="00530E4F" w:rsidP="00530E4F"/>
    <w:p w:rsidR="00530E4F" w:rsidRPr="00485E00" w:rsidRDefault="00530E4F" w:rsidP="00530E4F">
      <w:proofErr w:type="gramStart"/>
      <w:r w:rsidRPr="00485E00">
        <w:t>Figure 1.</w:t>
      </w:r>
      <w:proofErr w:type="gramEnd"/>
      <w:r>
        <w:t xml:space="preserve"> </w:t>
      </w:r>
      <w:proofErr w:type="gramStart"/>
      <w:r w:rsidRPr="00CD7BFF">
        <w:rPr>
          <w:rStyle w:val="CaptiontitleChar1"/>
          <w:rFonts w:eastAsia="MS Mincho"/>
        </w:rPr>
        <w:t>King crab fishing districts and sections of Statistical Area Q</w:t>
      </w:r>
      <w:r>
        <w:t>.</w:t>
      </w:r>
      <w:proofErr w:type="gramEnd"/>
    </w:p>
    <w:p w:rsidR="00530E4F" w:rsidRDefault="00530E4F" w:rsidP="00530E4F"/>
    <w:p w:rsidR="00530E4F" w:rsidRDefault="00530E4F" w:rsidP="00530E4F">
      <w:pPr>
        <w:widowControl w:val="0"/>
        <w:tabs>
          <w:tab w:val="left" w:pos="-720"/>
        </w:tabs>
        <w:suppressAutoHyphens/>
        <w:ind w:left="720" w:hanging="720"/>
        <w:jc w:val="both"/>
        <w:rPr>
          <w:spacing w:val="-3"/>
        </w:rPr>
      </w:pPr>
    </w:p>
    <w:p w:rsidR="00530E4F" w:rsidRDefault="00530E4F" w:rsidP="00530E4F">
      <w:pPr>
        <w:widowControl w:val="0"/>
        <w:tabs>
          <w:tab w:val="left" w:pos="-720"/>
        </w:tabs>
        <w:suppressAutoHyphens/>
        <w:ind w:left="720" w:hanging="720"/>
        <w:jc w:val="both"/>
        <w:rPr>
          <w:spacing w:val="-3"/>
        </w:rPr>
      </w:pPr>
      <w:r>
        <w:rPr>
          <w:spacing w:val="-3"/>
        </w:rPr>
        <w:br w:type="page"/>
      </w:r>
    </w:p>
    <w:p w:rsidR="00530E4F" w:rsidRDefault="00530E4F" w:rsidP="00530E4F">
      <w:pPr>
        <w:widowControl w:val="0"/>
        <w:tabs>
          <w:tab w:val="left" w:pos="-720"/>
        </w:tabs>
        <w:suppressAutoHyphens/>
        <w:ind w:left="720" w:hanging="720"/>
        <w:jc w:val="both"/>
      </w:pPr>
    </w:p>
    <w:p w:rsidR="00530E4F" w:rsidRDefault="00530E4F" w:rsidP="00530E4F">
      <w:pPr>
        <w:widowControl w:val="0"/>
        <w:tabs>
          <w:tab w:val="left" w:pos="-720"/>
        </w:tabs>
        <w:suppressAutoHyphens/>
        <w:ind w:left="720" w:hanging="720"/>
        <w:jc w:val="both"/>
      </w:pPr>
      <w:r w:rsidRPr="00D80E0A">
        <w:t xml:space="preserve"> </w:t>
      </w:r>
      <w:r w:rsidR="00F85670">
        <w:rPr>
          <w:noProof/>
        </w:rPr>
        <w:drawing>
          <wp:inline distT="0" distB="0" distL="0" distR="0" wp14:anchorId="3C327BCC" wp14:editId="2E914ED1">
            <wp:extent cx="5943600" cy="4219575"/>
            <wp:effectExtent l="19050" t="19050" r="19050" b="28575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19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30E4F" w:rsidRDefault="00530E4F" w:rsidP="00530E4F">
      <w:pPr>
        <w:widowControl w:val="0"/>
        <w:tabs>
          <w:tab w:val="left" w:pos="-720"/>
        </w:tabs>
        <w:suppressAutoHyphens/>
        <w:ind w:left="720" w:hanging="720"/>
        <w:jc w:val="both"/>
      </w:pPr>
    </w:p>
    <w:p w:rsidR="00530E4F" w:rsidRDefault="00530E4F" w:rsidP="00530E4F">
      <w:pPr>
        <w:widowControl w:val="0"/>
        <w:tabs>
          <w:tab w:val="left" w:pos="-720"/>
        </w:tabs>
        <w:suppressAutoHyphens/>
        <w:ind w:left="720" w:hanging="720"/>
        <w:jc w:val="both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Figure 2.</w:t>
      </w:r>
      <w:proofErr w:type="gramEnd"/>
      <w:r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Closed water regulations in effect for the Norton Sound commercial crab fishery.</w:t>
      </w:r>
      <w:proofErr w:type="gramEnd"/>
      <w:r w:rsidR="00F85670">
        <w:rPr>
          <w:rFonts w:ascii="TimesNewRomanPSMT" w:hAnsi="TimesNewRomanPSMT" w:cs="TimesNewRomanPSMT"/>
        </w:rPr>
        <w:t xml:space="preserve">  Line around the coastline delineates the 3-mil3 state waters zone. </w:t>
      </w:r>
    </w:p>
    <w:p w:rsidR="00530E4F" w:rsidRDefault="00530E4F" w:rsidP="00530E4F">
      <w:pPr>
        <w:widowControl w:val="0"/>
        <w:tabs>
          <w:tab w:val="left" w:pos="-720"/>
        </w:tabs>
        <w:suppressAutoHyphens/>
        <w:jc w:val="both"/>
        <w:rPr>
          <w:rFonts w:ascii="TimesNewRomanPSMT" w:hAnsi="TimesNewRomanPSMT" w:cs="TimesNewRomanPSMT"/>
        </w:rPr>
      </w:pPr>
    </w:p>
    <w:p w:rsidR="00F137BD" w:rsidRDefault="00F137BD" w:rsidP="00530E4F">
      <w:pPr>
        <w:widowControl w:val="0"/>
        <w:tabs>
          <w:tab w:val="left" w:pos="-720"/>
          <w:tab w:val="left" w:pos="0"/>
        </w:tabs>
        <w:suppressAutoHyphens/>
      </w:pPr>
    </w:p>
    <w:p w:rsidR="00530E4F" w:rsidRDefault="00530E4F" w:rsidP="00530E4F">
      <w:pPr>
        <w:widowControl w:val="0"/>
        <w:tabs>
          <w:tab w:val="left" w:pos="-720"/>
          <w:tab w:val="left" w:pos="0"/>
        </w:tabs>
        <w:suppressAutoHyphens/>
      </w:pPr>
    </w:p>
    <w:p w:rsidR="009E2AE1" w:rsidRDefault="007228EB" w:rsidP="00F137BD">
      <w:pPr>
        <w:widowControl w:val="0"/>
        <w:tabs>
          <w:tab w:val="left" w:pos="-720"/>
          <w:tab w:val="left" w:pos="0"/>
        </w:tabs>
        <w:suppressAutoHyphens/>
      </w:pPr>
      <w:r>
        <w:rPr>
          <w:noProof/>
        </w:rPr>
        <w:lastRenderedPageBreak/>
        <w:drawing>
          <wp:inline distT="0" distB="0" distL="0" distR="0">
            <wp:extent cx="6400800" cy="6400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0CD" w:rsidRDefault="00DD10CD" w:rsidP="00F137BD">
      <w:pPr>
        <w:widowControl w:val="0"/>
        <w:tabs>
          <w:tab w:val="left" w:pos="-720"/>
          <w:tab w:val="left" w:pos="0"/>
        </w:tabs>
        <w:suppressAutoHyphens/>
      </w:pPr>
    </w:p>
    <w:p w:rsidR="00F137BD" w:rsidRDefault="00F137BD" w:rsidP="00F137BD">
      <w:pPr>
        <w:widowControl w:val="0"/>
        <w:tabs>
          <w:tab w:val="left" w:pos="-720"/>
          <w:tab w:val="left" w:pos="0"/>
        </w:tabs>
        <w:suppressAutoHyphens/>
      </w:pPr>
      <w:proofErr w:type="gramStart"/>
      <w:r>
        <w:t>Figure 3.</w:t>
      </w:r>
      <w:proofErr w:type="gramEnd"/>
      <w:r>
        <w:t xml:space="preserve"> </w:t>
      </w:r>
      <w:proofErr w:type="gramStart"/>
      <w:r>
        <w:t>Observ</w:t>
      </w:r>
      <w:r w:rsidR="007228EB">
        <w:t>ed length compositions 1976-2016</w:t>
      </w:r>
      <w:r>
        <w:t>.</w:t>
      </w:r>
      <w:proofErr w:type="gramEnd"/>
      <w:r>
        <w:t xml:space="preserve"> </w:t>
      </w:r>
    </w:p>
    <w:p w:rsidR="00F137BD" w:rsidRDefault="00F137BD" w:rsidP="00530E4F">
      <w:pPr>
        <w:widowControl w:val="0"/>
        <w:tabs>
          <w:tab w:val="left" w:pos="-720"/>
          <w:tab w:val="left" w:pos="0"/>
        </w:tabs>
        <w:suppressAutoHyphens/>
      </w:pPr>
    </w:p>
    <w:p w:rsidR="003E39DD" w:rsidRDefault="00332872" w:rsidP="003E39DD">
      <w:pPr>
        <w:spacing w:after="200" w:line="276" w:lineRule="auto"/>
      </w:pPr>
      <w:r>
        <w:br w:type="page"/>
      </w:r>
    </w:p>
    <w:p w:rsidR="003E39DD" w:rsidRPr="00E344EB" w:rsidRDefault="00BE15AF" w:rsidP="003E39DD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</w:rPr>
        <w:lastRenderedPageBreak/>
        <w:t>F</w:t>
      </w:r>
      <w:r w:rsidR="00124409" w:rsidRPr="00E344EB">
        <w:rPr>
          <w:color w:val="D9D9D9" w:themeColor="background1" w:themeShade="D9"/>
        </w:rPr>
        <w:t>igure 4</w:t>
      </w:r>
      <w:r w:rsidR="00F46BD4" w:rsidRPr="00E344EB">
        <w:rPr>
          <w:color w:val="D9D9D9" w:themeColor="background1" w:themeShade="D9"/>
        </w:rPr>
        <w:t>.</w:t>
      </w:r>
      <w:proofErr w:type="gramEnd"/>
      <w:r w:rsidR="00F46BD4" w:rsidRPr="00E344EB">
        <w:rPr>
          <w:color w:val="D9D9D9" w:themeColor="background1" w:themeShade="D9"/>
        </w:rPr>
        <w:t xml:space="preserve"> </w:t>
      </w:r>
      <w:proofErr w:type="gramStart"/>
      <w:r w:rsidR="003E39DD" w:rsidRPr="00E344EB">
        <w:rPr>
          <w:color w:val="D9D9D9" w:themeColor="background1" w:themeShade="D9"/>
        </w:rPr>
        <w:t>Effective sample</w:t>
      </w:r>
      <w:r w:rsidR="00D00E10" w:rsidRPr="00E344EB">
        <w:rPr>
          <w:color w:val="D9D9D9" w:themeColor="background1" w:themeShade="D9"/>
        </w:rPr>
        <w:t xml:space="preserve"> size vs. implied sample size</w:t>
      </w:r>
      <w:r w:rsidR="00F46BD4" w:rsidRPr="00E344EB">
        <w:rPr>
          <w:color w:val="D9D9D9" w:themeColor="background1" w:themeShade="D9"/>
        </w:rPr>
        <w:t>.</w:t>
      </w:r>
      <w:proofErr w:type="gramEnd"/>
      <w:r w:rsidR="00F46BD4" w:rsidRPr="00E344EB">
        <w:rPr>
          <w:color w:val="D9D9D9" w:themeColor="background1" w:themeShade="D9"/>
        </w:rPr>
        <w:t xml:space="preserve"> </w:t>
      </w:r>
      <w:r w:rsidR="00DD10CD" w:rsidRPr="00E344EB">
        <w:rPr>
          <w:color w:val="D9D9D9" w:themeColor="background1" w:themeShade="D9"/>
        </w:rPr>
        <w:t>Figures in the first column sho</w:t>
      </w:r>
      <w:r w:rsidR="00297933" w:rsidRPr="00E344EB">
        <w:rPr>
          <w:color w:val="D9D9D9" w:themeColor="background1" w:themeShade="D9"/>
        </w:rPr>
        <w:t>w e</w:t>
      </w:r>
      <w:r w:rsidR="00DD10CD" w:rsidRPr="00E344EB">
        <w:rPr>
          <w:color w:val="D9D9D9" w:themeColor="background1" w:themeShade="D9"/>
        </w:rPr>
        <w:t>ffective sample size (x-axis)</w:t>
      </w:r>
      <w:r w:rsidR="00297933" w:rsidRPr="00E344EB">
        <w:rPr>
          <w:color w:val="D9D9D9" w:themeColor="background1" w:themeShade="D9"/>
        </w:rPr>
        <w:t xml:space="preserve"> vs. frequency (y-axis)</w:t>
      </w:r>
      <w:r w:rsidR="00F46BD4" w:rsidRPr="00E344EB">
        <w:rPr>
          <w:color w:val="D9D9D9" w:themeColor="background1" w:themeShade="D9"/>
        </w:rPr>
        <w:t xml:space="preserve">. </w:t>
      </w:r>
      <w:r w:rsidR="00297933" w:rsidRPr="00E344EB">
        <w:rPr>
          <w:color w:val="D9D9D9" w:themeColor="background1" w:themeShade="D9"/>
        </w:rPr>
        <w:t>Vertical solid line is the implied sample size</w:t>
      </w:r>
      <w:r w:rsidR="00F46BD4" w:rsidRPr="00E344EB">
        <w:rPr>
          <w:color w:val="D9D9D9" w:themeColor="background1" w:themeShade="D9"/>
        </w:rPr>
        <w:t xml:space="preserve">. </w:t>
      </w:r>
      <w:r w:rsidR="00DD10CD" w:rsidRPr="00E344EB">
        <w:rPr>
          <w:color w:val="D9D9D9" w:themeColor="background1" w:themeShade="D9"/>
        </w:rPr>
        <w:t xml:space="preserve">Figures in the second column show </w:t>
      </w:r>
      <w:r w:rsidR="00297933" w:rsidRPr="00E344EB">
        <w:rPr>
          <w:color w:val="D9D9D9" w:themeColor="background1" w:themeShade="D9"/>
        </w:rPr>
        <w:t xml:space="preserve">implied sample size (x-axis) vs. </w:t>
      </w:r>
      <w:r w:rsidR="00DD10CD" w:rsidRPr="00E344EB">
        <w:rPr>
          <w:color w:val="D9D9D9" w:themeColor="background1" w:themeShade="D9"/>
        </w:rPr>
        <w:t xml:space="preserve">effective sample size </w:t>
      </w:r>
      <w:r w:rsidR="00297933" w:rsidRPr="00E344EB">
        <w:rPr>
          <w:color w:val="D9D9D9" w:themeColor="background1" w:themeShade="D9"/>
        </w:rPr>
        <w:t>(y-axis)</w:t>
      </w:r>
      <w:r w:rsidR="00F46BD4" w:rsidRPr="00E344EB">
        <w:rPr>
          <w:color w:val="D9D9D9" w:themeColor="background1" w:themeShade="D9"/>
        </w:rPr>
        <w:t xml:space="preserve">. </w:t>
      </w:r>
      <w:r w:rsidR="00297933" w:rsidRPr="00E344EB">
        <w:rPr>
          <w:color w:val="D9D9D9" w:themeColor="background1" w:themeShade="D9"/>
        </w:rPr>
        <w:t xml:space="preserve"> </w:t>
      </w:r>
      <w:r w:rsidR="00D00E10" w:rsidRPr="00E344EB">
        <w:rPr>
          <w:color w:val="D9D9D9" w:themeColor="background1" w:themeShade="D9"/>
        </w:rPr>
        <w:t>Dashed line indicates linear regression slope, and solid line is 1:1 line</w:t>
      </w:r>
      <w:r w:rsidR="00F46BD4" w:rsidRPr="00E344EB">
        <w:rPr>
          <w:color w:val="D9D9D9" w:themeColor="background1" w:themeShade="D9"/>
        </w:rPr>
        <w:t xml:space="preserve">. </w:t>
      </w:r>
      <w:r w:rsidR="00297933" w:rsidRPr="00E344EB">
        <w:rPr>
          <w:color w:val="D9D9D9" w:themeColor="background1" w:themeShade="D9"/>
        </w:rPr>
        <w:t xml:space="preserve"> Figures in the third column show year (x-axis) vs. effective sample size (y-axis).</w:t>
      </w:r>
    </w:p>
    <w:p w:rsidR="00D00E10" w:rsidRPr="00E344EB" w:rsidRDefault="00D00E10" w:rsidP="003E39DD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</w:p>
    <w:p w:rsidR="003E39DD" w:rsidRPr="00E344EB" w:rsidRDefault="00D00E10" w:rsidP="003E39DD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</w:rPr>
        <w:t>Figure 5</w:t>
      </w:r>
      <w:r w:rsidR="00F46BD4" w:rsidRPr="00E344EB">
        <w:rPr>
          <w:color w:val="D9D9D9" w:themeColor="background1" w:themeShade="D9"/>
        </w:rPr>
        <w:t>.</w:t>
      </w:r>
      <w:proofErr w:type="gramEnd"/>
      <w:r w:rsidR="00F46BD4" w:rsidRPr="00E344EB">
        <w:rPr>
          <w:color w:val="D9D9D9" w:themeColor="background1" w:themeShade="D9"/>
        </w:rPr>
        <w:t xml:space="preserve"> </w:t>
      </w:r>
      <w:proofErr w:type="gramStart"/>
      <w:r w:rsidR="003E39DD" w:rsidRPr="00E344EB">
        <w:rPr>
          <w:color w:val="D9D9D9" w:themeColor="background1" w:themeShade="D9"/>
        </w:rPr>
        <w:t>Molting probabil</w:t>
      </w:r>
      <w:r w:rsidRPr="00E344EB">
        <w:rPr>
          <w:color w:val="D9D9D9" w:themeColor="background1" w:themeShade="D9"/>
        </w:rPr>
        <w:t>ity and trawl/pot selectivit</w:t>
      </w:r>
      <w:r w:rsidR="007228EB" w:rsidRPr="00E344EB">
        <w:rPr>
          <w:color w:val="D9D9D9" w:themeColor="background1" w:themeShade="D9"/>
        </w:rPr>
        <w:t>y</w:t>
      </w:r>
      <w:r w:rsidR="008C337B" w:rsidRPr="00E344EB">
        <w:rPr>
          <w:color w:val="D9D9D9" w:themeColor="background1" w:themeShade="D9"/>
        </w:rPr>
        <w:t>.</w:t>
      </w:r>
      <w:proofErr w:type="gramEnd"/>
    </w:p>
    <w:p w:rsidR="0003747B" w:rsidRPr="00E344EB" w:rsidRDefault="0003747B" w:rsidP="0003747B">
      <w:pPr>
        <w:rPr>
          <w:color w:val="D9D9D9" w:themeColor="background1" w:themeShade="D9"/>
        </w:rPr>
      </w:pPr>
    </w:p>
    <w:p w:rsidR="00332872" w:rsidRPr="00E344EB" w:rsidRDefault="00D00E10" w:rsidP="00332872">
      <w:pPr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</w:rPr>
        <w:t>Figure 6</w:t>
      </w:r>
      <w:r w:rsidR="003E39DD" w:rsidRPr="00E344EB">
        <w:rPr>
          <w:color w:val="D9D9D9" w:themeColor="background1" w:themeShade="D9"/>
        </w:rPr>
        <w:t>.</w:t>
      </w:r>
      <w:proofErr w:type="gramEnd"/>
      <w:r w:rsidR="003E39DD" w:rsidRPr="00E344EB">
        <w:rPr>
          <w:color w:val="D9D9D9" w:themeColor="background1" w:themeShade="D9"/>
        </w:rPr>
        <w:t xml:space="preserve"> Estimated trawl survey </w:t>
      </w:r>
      <w:r w:rsidR="008C337B" w:rsidRPr="00E344EB">
        <w:rPr>
          <w:color w:val="D9D9D9" w:themeColor="background1" w:themeShade="D9"/>
        </w:rPr>
        <w:t xml:space="preserve">male </w:t>
      </w:r>
      <w:r w:rsidR="00BE15AF" w:rsidRPr="00E344EB">
        <w:rPr>
          <w:color w:val="D9D9D9" w:themeColor="background1" w:themeShade="D9"/>
        </w:rPr>
        <w:t xml:space="preserve">abundance </w:t>
      </w:r>
      <w:r w:rsidR="006C2F68" w:rsidRPr="00E344EB">
        <w:rPr>
          <w:color w:val="D9D9D9" w:themeColor="background1" w:themeShade="D9"/>
        </w:rPr>
        <w:t xml:space="preserve">with 95% lognormal Confidence Interval </w:t>
      </w:r>
      <w:r w:rsidR="00BE15AF" w:rsidRPr="00E344EB">
        <w:rPr>
          <w:color w:val="D9D9D9" w:themeColor="background1" w:themeShade="D9"/>
        </w:rPr>
        <w:t>(crab ≥ 7</w:t>
      </w:r>
      <w:r w:rsidR="003E39DD" w:rsidRPr="00E344EB">
        <w:rPr>
          <w:color w:val="D9D9D9" w:themeColor="background1" w:themeShade="D9"/>
        </w:rPr>
        <w:t>4 mm CL)</w:t>
      </w:r>
      <w:r w:rsidR="008C337B" w:rsidRPr="00E344EB">
        <w:rPr>
          <w:color w:val="D9D9D9" w:themeColor="background1" w:themeShade="D9"/>
        </w:rPr>
        <w:t>.</w:t>
      </w:r>
      <w:r w:rsidR="003E39DD" w:rsidRPr="00E344EB">
        <w:rPr>
          <w:color w:val="D9D9D9" w:themeColor="background1" w:themeShade="D9"/>
        </w:rPr>
        <w:t xml:space="preserve"> </w:t>
      </w:r>
    </w:p>
    <w:p w:rsidR="00332872" w:rsidRPr="00E344EB" w:rsidRDefault="00332872" w:rsidP="00332872">
      <w:pPr>
        <w:rPr>
          <w:color w:val="D9D9D9" w:themeColor="background1" w:themeShade="D9"/>
        </w:rPr>
      </w:pPr>
    </w:p>
    <w:p w:rsidR="003E39DD" w:rsidRPr="00E344EB" w:rsidRDefault="00D00E10" w:rsidP="00332872">
      <w:pPr>
        <w:spacing w:after="200" w:line="276" w:lineRule="auto"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</w:rPr>
        <w:t>Figure 7</w:t>
      </w:r>
      <w:r w:rsidR="008C337B" w:rsidRPr="00E344EB">
        <w:rPr>
          <w:color w:val="D9D9D9" w:themeColor="background1" w:themeShade="D9"/>
        </w:rPr>
        <w:t>.</w:t>
      </w:r>
      <w:proofErr w:type="gramEnd"/>
      <w:r w:rsidR="003E39DD" w:rsidRPr="00E344EB">
        <w:rPr>
          <w:color w:val="D9D9D9" w:themeColor="background1" w:themeShade="D9"/>
        </w:rPr>
        <w:t xml:space="preserve"> Estimated abundance</w:t>
      </w:r>
      <w:r w:rsidR="008C337B" w:rsidRPr="00E344EB">
        <w:rPr>
          <w:color w:val="D9D9D9" w:themeColor="background1" w:themeShade="D9"/>
        </w:rPr>
        <w:t>s</w:t>
      </w:r>
      <w:r w:rsidR="003E39DD" w:rsidRPr="00E344EB">
        <w:rPr>
          <w:color w:val="D9D9D9" w:themeColor="background1" w:themeShade="D9"/>
        </w:rPr>
        <w:t xml:space="preserve"> of legal</w:t>
      </w:r>
      <w:r w:rsidR="008C337B" w:rsidRPr="00E344EB">
        <w:rPr>
          <w:color w:val="D9D9D9" w:themeColor="background1" w:themeShade="D9"/>
        </w:rPr>
        <w:t xml:space="preserve"> and</w:t>
      </w:r>
      <w:r w:rsidRPr="00E344EB">
        <w:rPr>
          <w:color w:val="D9D9D9" w:themeColor="background1" w:themeShade="D9"/>
        </w:rPr>
        <w:t xml:space="preserve"> recruits male</w:t>
      </w:r>
      <w:r w:rsidR="008C337B" w:rsidRPr="00E344EB">
        <w:rPr>
          <w:color w:val="D9D9D9" w:themeColor="background1" w:themeShade="D9"/>
        </w:rPr>
        <w:t>s</w:t>
      </w:r>
      <w:r w:rsidR="00BE15AF" w:rsidRPr="00E344EB">
        <w:rPr>
          <w:color w:val="D9D9D9" w:themeColor="background1" w:themeShade="D9"/>
        </w:rPr>
        <w:t xml:space="preserve"> from 1976-2015</w:t>
      </w:r>
      <w:r w:rsidR="008C337B" w:rsidRPr="00E344EB">
        <w:rPr>
          <w:color w:val="D9D9D9" w:themeColor="background1" w:themeShade="D9"/>
        </w:rPr>
        <w:t>.</w:t>
      </w:r>
    </w:p>
    <w:p w:rsidR="00926BF1" w:rsidRPr="00E344EB" w:rsidRDefault="00297933" w:rsidP="00332872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</w:rPr>
        <w:t>Figure 8</w:t>
      </w:r>
      <w:r w:rsidR="00D00E10" w:rsidRPr="00E344EB">
        <w:rPr>
          <w:color w:val="D9D9D9" w:themeColor="background1" w:themeShade="D9"/>
        </w:rPr>
        <w:t>.</w:t>
      </w:r>
      <w:proofErr w:type="gramEnd"/>
      <w:r w:rsidR="00D00E10" w:rsidRPr="00E344EB">
        <w:rPr>
          <w:color w:val="D9D9D9" w:themeColor="background1" w:themeShade="D9"/>
        </w:rPr>
        <w:t xml:space="preserve"> Estimated MMB from 1976-2015. </w:t>
      </w:r>
      <w:r w:rsidR="003E39DD" w:rsidRPr="00E344EB">
        <w:rPr>
          <w:color w:val="D9D9D9" w:themeColor="background1" w:themeShade="D9"/>
        </w:rPr>
        <w:t xml:space="preserve">Dash line shows </w:t>
      </w:r>
      <w:proofErr w:type="spellStart"/>
      <w:r w:rsidR="003E39DD" w:rsidRPr="00E344EB">
        <w:rPr>
          <w:color w:val="D9D9D9" w:themeColor="background1" w:themeShade="D9"/>
        </w:rPr>
        <w:t>Bmsy</w:t>
      </w:r>
      <w:proofErr w:type="spellEnd"/>
      <w:r w:rsidR="00E717DB" w:rsidRPr="00E344EB">
        <w:rPr>
          <w:color w:val="D9D9D9" w:themeColor="background1" w:themeShade="D9"/>
        </w:rPr>
        <w:t xml:space="preserve"> (Average MMB of 1980-2016</w:t>
      </w:r>
      <w:r w:rsidR="003E39DD" w:rsidRPr="00E344EB">
        <w:rPr>
          <w:color w:val="D9D9D9" w:themeColor="background1" w:themeShade="D9"/>
        </w:rPr>
        <w:t>)</w:t>
      </w:r>
      <w:r w:rsidR="008C337B" w:rsidRPr="00E344EB">
        <w:rPr>
          <w:color w:val="D9D9D9" w:themeColor="background1" w:themeShade="D9"/>
        </w:rPr>
        <w:t>.</w:t>
      </w:r>
      <w:r w:rsidR="00E717DB" w:rsidRPr="00E344EB">
        <w:rPr>
          <w:color w:val="D9D9D9" w:themeColor="background1" w:themeShade="D9"/>
        </w:rPr>
        <w:t xml:space="preserve"> Black points indicate projected MMB of 2016.</w:t>
      </w:r>
    </w:p>
    <w:p w:rsidR="003E39DD" w:rsidRPr="00E344EB" w:rsidRDefault="003E39DD" w:rsidP="003E39DD">
      <w:pPr>
        <w:rPr>
          <w:color w:val="D9D9D9" w:themeColor="background1" w:themeShade="D9"/>
        </w:rPr>
      </w:pPr>
    </w:p>
    <w:p w:rsidR="003E39DD" w:rsidRPr="00E344EB" w:rsidRDefault="00D00E10" w:rsidP="003E39DD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>Figure 9</w:t>
      </w:r>
      <w:r w:rsidR="00F46BD4" w:rsidRPr="00E344EB">
        <w:rPr>
          <w:color w:val="D9D9D9" w:themeColor="background1" w:themeShade="D9"/>
          <w:spacing w:val="-3"/>
        </w:rPr>
        <w:t>.</w:t>
      </w:r>
      <w:proofErr w:type="gramEnd"/>
      <w:r w:rsidR="00F46BD4" w:rsidRPr="00E344EB">
        <w:rPr>
          <w:color w:val="D9D9D9" w:themeColor="background1" w:themeShade="D9"/>
          <w:spacing w:val="-3"/>
        </w:rPr>
        <w:t xml:space="preserve"> </w:t>
      </w:r>
      <w:r w:rsidRPr="00E344EB">
        <w:rPr>
          <w:color w:val="D9D9D9" w:themeColor="background1" w:themeShade="D9"/>
          <w:spacing w:val="-3"/>
        </w:rPr>
        <w:t xml:space="preserve">Summer commercial standardized </w:t>
      </w:r>
      <w:proofErr w:type="spellStart"/>
      <w:r w:rsidRPr="00E344EB">
        <w:rPr>
          <w:color w:val="D9D9D9" w:themeColor="background1" w:themeShade="D9"/>
          <w:spacing w:val="-3"/>
        </w:rPr>
        <w:t>cpue</w:t>
      </w:r>
      <w:proofErr w:type="spellEnd"/>
      <w:r w:rsidR="00F46BD4" w:rsidRPr="00E344EB">
        <w:rPr>
          <w:color w:val="D9D9D9" w:themeColor="background1" w:themeShade="D9"/>
          <w:spacing w:val="-3"/>
        </w:rPr>
        <w:t xml:space="preserve">. </w:t>
      </w:r>
      <w:r w:rsidRPr="00E344EB">
        <w:rPr>
          <w:color w:val="D9D9D9" w:themeColor="background1" w:themeShade="D9"/>
          <w:spacing w:val="-3"/>
        </w:rPr>
        <w:t xml:space="preserve">Black line is input SD and red line is input and estimated additional SD. </w:t>
      </w:r>
    </w:p>
    <w:p w:rsidR="003E39DD" w:rsidRPr="00E344EB" w:rsidRDefault="003E39DD" w:rsidP="00332872">
      <w:pPr>
        <w:widowControl w:val="0"/>
        <w:tabs>
          <w:tab w:val="left" w:pos="-720"/>
        </w:tabs>
        <w:suppressAutoHyphens/>
        <w:jc w:val="both"/>
        <w:rPr>
          <w:color w:val="D9D9D9" w:themeColor="background1" w:themeShade="D9"/>
          <w:spacing w:val="-3"/>
        </w:rPr>
      </w:pPr>
    </w:p>
    <w:p w:rsidR="003E39DD" w:rsidRPr="00E344EB" w:rsidRDefault="00D00E10" w:rsidP="003E39DD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>Figure 10</w:t>
      </w:r>
      <w:r w:rsidR="008C337B" w:rsidRPr="00E344EB">
        <w:rPr>
          <w:color w:val="D9D9D9" w:themeColor="background1" w:themeShade="D9"/>
          <w:spacing w:val="-3"/>
        </w:rPr>
        <w:t>.</w:t>
      </w:r>
      <w:proofErr w:type="gramEnd"/>
      <w:r w:rsidR="008C337B" w:rsidRPr="00E344EB">
        <w:rPr>
          <w:color w:val="D9D9D9" w:themeColor="background1" w:themeShade="D9"/>
          <w:spacing w:val="-3"/>
        </w:rPr>
        <w:t xml:space="preserve"> </w:t>
      </w:r>
      <w:r w:rsidRPr="00E344EB">
        <w:rPr>
          <w:color w:val="D9D9D9" w:themeColor="background1" w:themeShade="D9"/>
          <w:spacing w:val="-3"/>
        </w:rPr>
        <w:t xml:space="preserve">Commercial Catch and estimated harvest rate of legal male. </w:t>
      </w:r>
    </w:p>
    <w:p w:rsidR="00A66CEA" w:rsidRPr="00E344EB" w:rsidRDefault="00A66CEA" w:rsidP="00332872">
      <w:pPr>
        <w:widowControl w:val="0"/>
        <w:tabs>
          <w:tab w:val="left" w:pos="-720"/>
        </w:tabs>
        <w:suppressAutoHyphens/>
        <w:jc w:val="both"/>
        <w:rPr>
          <w:color w:val="D9D9D9" w:themeColor="background1" w:themeShade="D9"/>
          <w:spacing w:val="-3"/>
        </w:rPr>
      </w:pPr>
    </w:p>
    <w:p w:rsidR="00A66CEA" w:rsidRPr="00E344EB" w:rsidRDefault="00D00E10" w:rsidP="002D3BB3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>Figure 11</w:t>
      </w:r>
      <w:r w:rsidR="00F46BD4" w:rsidRPr="00E344EB">
        <w:rPr>
          <w:color w:val="D9D9D9" w:themeColor="background1" w:themeShade="D9"/>
          <w:spacing w:val="-3"/>
        </w:rPr>
        <w:t>.</w:t>
      </w:r>
      <w:proofErr w:type="gramEnd"/>
      <w:r w:rsidR="00F46BD4" w:rsidRPr="00E344EB">
        <w:rPr>
          <w:color w:val="D9D9D9" w:themeColor="background1" w:themeShade="D9"/>
          <w:spacing w:val="-3"/>
        </w:rPr>
        <w:t xml:space="preserve"> </w:t>
      </w:r>
      <w:proofErr w:type="gramStart"/>
      <w:r w:rsidR="002D3BB3" w:rsidRPr="00E344EB">
        <w:rPr>
          <w:color w:val="D9D9D9" w:themeColor="background1" w:themeShade="D9"/>
          <w:spacing w:val="-3"/>
        </w:rPr>
        <w:t>Residual and QQ plot</w:t>
      </w:r>
      <w:r w:rsidR="008C337B" w:rsidRPr="00E344EB">
        <w:rPr>
          <w:color w:val="D9D9D9" w:themeColor="background1" w:themeShade="D9"/>
          <w:spacing w:val="-3"/>
        </w:rPr>
        <w:t>.</w:t>
      </w:r>
      <w:proofErr w:type="gramEnd"/>
      <w:r w:rsidR="00BE15AF" w:rsidRPr="00E344EB">
        <w:rPr>
          <w:noProof/>
          <w:color w:val="D9D9D9" w:themeColor="background1" w:themeShade="D9"/>
        </w:rPr>
        <w:t xml:space="preserve"> </w:t>
      </w:r>
    </w:p>
    <w:p w:rsidR="003E39DD" w:rsidRPr="00E344EB" w:rsidRDefault="003E39DD" w:rsidP="003E39DD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</w:p>
    <w:p w:rsidR="00332872" w:rsidRPr="00E344EB" w:rsidRDefault="00D00E10" w:rsidP="00332872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</w:rPr>
        <w:t>Figure 12</w:t>
      </w:r>
      <w:r w:rsidR="00F46BD4" w:rsidRPr="00E344EB">
        <w:rPr>
          <w:color w:val="D9D9D9" w:themeColor="background1" w:themeShade="D9"/>
        </w:rPr>
        <w:t>.</w:t>
      </w:r>
      <w:proofErr w:type="gramEnd"/>
      <w:r w:rsidR="00F46BD4" w:rsidRPr="00E344EB">
        <w:rPr>
          <w:color w:val="D9D9D9" w:themeColor="background1" w:themeShade="D9"/>
        </w:rPr>
        <w:t xml:space="preserve"> </w:t>
      </w:r>
      <w:r w:rsidR="003E39DD" w:rsidRPr="00E344EB">
        <w:rPr>
          <w:color w:val="D9D9D9" w:themeColor="background1" w:themeShade="D9"/>
        </w:rPr>
        <w:t>Bubble plot of predicted</w:t>
      </w:r>
      <w:r w:rsidR="00EE0D19" w:rsidRPr="00E344EB">
        <w:rPr>
          <w:color w:val="D9D9D9" w:themeColor="background1" w:themeShade="D9"/>
        </w:rPr>
        <w:t xml:space="preserve"> and observed length proportion </w:t>
      </w:r>
      <w:r w:rsidR="003E39DD" w:rsidRPr="00E344EB">
        <w:rPr>
          <w:color w:val="D9D9D9" w:themeColor="background1" w:themeShade="D9"/>
        </w:rPr>
        <w:t>(Alternative model 0)</w:t>
      </w:r>
      <w:r w:rsidR="00F46BD4" w:rsidRPr="00E344EB">
        <w:rPr>
          <w:color w:val="D9D9D9" w:themeColor="background1" w:themeShade="D9"/>
        </w:rPr>
        <w:t xml:space="preserve">. </w:t>
      </w:r>
      <w:r w:rsidR="00EE0D19" w:rsidRPr="00E344EB">
        <w:rPr>
          <w:color w:val="D9D9D9" w:themeColor="background1" w:themeShade="D9"/>
        </w:rPr>
        <w:t>Black circle indicates model estimates lower than observed, white circle indicates model estimates higher than observed</w:t>
      </w:r>
      <w:r w:rsidR="00F46BD4" w:rsidRPr="00E344EB">
        <w:rPr>
          <w:color w:val="D9D9D9" w:themeColor="background1" w:themeShade="D9"/>
        </w:rPr>
        <w:t xml:space="preserve">. </w:t>
      </w:r>
      <w:r w:rsidR="00EE0D19" w:rsidRPr="00E344EB">
        <w:rPr>
          <w:color w:val="D9D9D9" w:themeColor="background1" w:themeShade="D9"/>
        </w:rPr>
        <w:t>Size of circle indicate degree of deviance (larger circle = larger deviance)</w:t>
      </w:r>
      <w:r w:rsidR="00F46BD4" w:rsidRPr="00E344EB">
        <w:rPr>
          <w:color w:val="D9D9D9" w:themeColor="background1" w:themeShade="D9"/>
        </w:rPr>
        <w:t xml:space="preserve">. </w:t>
      </w:r>
    </w:p>
    <w:p w:rsidR="00332872" w:rsidRPr="00E344EB" w:rsidRDefault="00332872" w:rsidP="00332872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</w:p>
    <w:p w:rsidR="003E39DD" w:rsidRPr="00E344EB" w:rsidRDefault="00D00E10" w:rsidP="00332872">
      <w:pPr>
        <w:spacing w:after="200" w:line="276" w:lineRule="auto"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>Figure 13</w:t>
      </w:r>
      <w:r w:rsidR="00F46BD4" w:rsidRPr="00E344EB">
        <w:rPr>
          <w:color w:val="D9D9D9" w:themeColor="background1" w:themeShade="D9"/>
          <w:spacing w:val="-3"/>
        </w:rPr>
        <w:t>.</w:t>
      </w:r>
      <w:proofErr w:type="gramEnd"/>
      <w:r w:rsidR="00F46BD4" w:rsidRPr="00E344EB">
        <w:rPr>
          <w:color w:val="D9D9D9" w:themeColor="background1" w:themeShade="D9"/>
          <w:spacing w:val="-3"/>
        </w:rPr>
        <w:t xml:space="preserve"> </w:t>
      </w:r>
      <w:r w:rsidR="003E39DD" w:rsidRPr="00E344EB">
        <w:rPr>
          <w:color w:val="D9D9D9" w:themeColor="background1" w:themeShade="D9"/>
          <w:spacing w:val="-3"/>
        </w:rPr>
        <w:t xml:space="preserve">Predicted </w:t>
      </w:r>
      <w:r w:rsidR="00EE0D19" w:rsidRPr="00E344EB">
        <w:rPr>
          <w:color w:val="D9D9D9" w:themeColor="background1" w:themeShade="D9"/>
          <w:spacing w:val="-3"/>
        </w:rPr>
        <w:t xml:space="preserve">(dashed line) </w:t>
      </w:r>
      <w:r w:rsidR="003E39DD" w:rsidRPr="00E344EB">
        <w:rPr>
          <w:color w:val="D9D9D9" w:themeColor="background1" w:themeShade="D9"/>
          <w:spacing w:val="-3"/>
        </w:rPr>
        <w:t xml:space="preserve">vs. observed </w:t>
      </w:r>
      <w:r w:rsidR="00EE0D19" w:rsidRPr="00E344EB">
        <w:rPr>
          <w:color w:val="D9D9D9" w:themeColor="background1" w:themeShade="D9"/>
          <w:spacing w:val="-3"/>
        </w:rPr>
        <w:t xml:space="preserve">(black dots) </w:t>
      </w:r>
      <w:r w:rsidR="003E39DD" w:rsidRPr="00E344EB">
        <w:rPr>
          <w:color w:val="D9D9D9" w:themeColor="background1" w:themeShade="D9"/>
          <w:spacing w:val="-3"/>
        </w:rPr>
        <w:t xml:space="preserve">length class proportion for </w:t>
      </w:r>
      <w:r w:rsidR="008C337B" w:rsidRPr="00E344EB">
        <w:rPr>
          <w:color w:val="D9D9D9" w:themeColor="background1" w:themeShade="D9"/>
          <w:spacing w:val="-3"/>
        </w:rPr>
        <w:t xml:space="preserve">the summer </w:t>
      </w:r>
      <w:r w:rsidR="003E39DD" w:rsidRPr="00E344EB">
        <w:rPr>
          <w:color w:val="D9D9D9" w:themeColor="background1" w:themeShade="D9"/>
          <w:spacing w:val="-3"/>
        </w:rPr>
        <w:t>commercial catch</w:t>
      </w:r>
      <w:r w:rsidR="008C337B" w:rsidRPr="00E344EB">
        <w:rPr>
          <w:color w:val="D9D9D9" w:themeColor="background1" w:themeShade="D9"/>
          <w:spacing w:val="-3"/>
        </w:rPr>
        <w:t>.</w:t>
      </w:r>
    </w:p>
    <w:p w:rsidR="00CA6C6B" w:rsidRPr="00E344EB" w:rsidRDefault="00CA6C6B" w:rsidP="00530E4F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</w:p>
    <w:p w:rsidR="003E39DD" w:rsidRPr="00E344EB" w:rsidRDefault="00297933" w:rsidP="00332872">
      <w:pPr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>Figure 14</w:t>
      </w:r>
      <w:r w:rsidR="00F46BD4" w:rsidRPr="00E344EB">
        <w:rPr>
          <w:color w:val="D9D9D9" w:themeColor="background1" w:themeShade="D9"/>
          <w:spacing w:val="-3"/>
        </w:rPr>
        <w:t>.</w:t>
      </w:r>
      <w:proofErr w:type="gramEnd"/>
      <w:r w:rsidR="00F46BD4" w:rsidRPr="00E344EB">
        <w:rPr>
          <w:color w:val="D9D9D9" w:themeColor="background1" w:themeShade="D9"/>
          <w:spacing w:val="-3"/>
        </w:rPr>
        <w:t xml:space="preserve"> </w:t>
      </w:r>
      <w:proofErr w:type="gramStart"/>
      <w:r w:rsidR="003E39DD" w:rsidRPr="00E344EB">
        <w:rPr>
          <w:color w:val="D9D9D9" w:themeColor="background1" w:themeShade="D9"/>
          <w:spacing w:val="-3"/>
        </w:rPr>
        <w:t>Predicted vs. observed length class proportion for winter pot survey</w:t>
      </w:r>
      <w:r w:rsidR="008C337B" w:rsidRPr="00E344EB">
        <w:rPr>
          <w:color w:val="D9D9D9" w:themeColor="background1" w:themeShade="D9"/>
          <w:spacing w:val="-3"/>
        </w:rPr>
        <w:t>.</w:t>
      </w:r>
      <w:proofErr w:type="gramEnd"/>
    </w:p>
    <w:p w:rsidR="00A66EF9" w:rsidRPr="00E344EB" w:rsidRDefault="00A66EF9" w:rsidP="00332872">
      <w:pPr>
        <w:widowControl w:val="0"/>
        <w:tabs>
          <w:tab w:val="left" w:pos="-720"/>
        </w:tabs>
        <w:suppressAutoHyphens/>
        <w:jc w:val="both"/>
        <w:rPr>
          <w:color w:val="D9D9D9" w:themeColor="background1" w:themeShade="D9"/>
          <w:spacing w:val="-3"/>
        </w:rPr>
      </w:pPr>
    </w:p>
    <w:p w:rsidR="009A66F0" w:rsidRPr="00E344EB" w:rsidRDefault="009A66F0" w:rsidP="009E34A6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  <w:spacing w:val="-3"/>
        </w:rPr>
      </w:pPr>
    </w:p>
    <w:p w:rsidR="002D3BB3" w:rsidRPr="00E344EB" w:rsidRDefault="001315B0" w:rsidP="002D3BB3">
      <w:pPr>
        <w:widowControl w:val="0"/>
        <w:tabs>
          <w:tab w:val="left" w:pos="-720"/>
          <w:tab w:val="left" w:pos="0"/>
        </w:tabs>
        <w:suppressAutoHyphens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 xml:space="preserve">Figure </w:t>
      </w:r>
      <w:r w:rsidR="006D7AF3" w:rsidRPr="00E344EB">
        <w:rPr>
          <w:color w:val="D9D9D9" w:themeColor="background1" w:themeShade="D9"/>
          <w:spacing w:val="-3"/>
        </w:rPr>
        <w:t>15</w:t>
      </w:r>
      <w:r w:rsidR="00F46BD4" w:rsidRPr="00E344EB">
        <w:rPr>
          <w:color w:val="D9D9D9" w:themeColor="background1" w:themeShade="D9"/>
          <w:spacing w:val="-3"/>
        </w:rPr>
        <w:t>.</w:t>
      </w:r>
      <w:proofErr w:type="gramEnd"/>
      <w:r w:rsidR="00F46BD4" w:rsidRPr="00E344EB">
        <w:rPr>
          <w:color w:val="D9D9D9" w:themeColor="background1" w:themeShade="D9"/>
          <w:spacing w:val="-3"/>
        </w:rPr>
        <w:t xml:space="preserve"> </w:t>
      </w:r>
      <w:proofErr w:type="gramStart"/>
      <w:r w:rsidR="00A66EF9" w:rsidRPr="00E344EB">
        <w:rPr>
          <w:color w:val="D9D9D9" w:themeColor="background1" w:themeShade="D9"/>
          <w:spacing w:val="-3"/>
        </w:rPr>
        <w:t>Predicted vs. observed length class proportion for trawl</w:t>
      </w:r>
      <w:r w:rsidR="002D3BB3" w:rsidRPr="00E344EB">
        <w:rPr>
          <w:color w:val="D9D9D9" w:themeColor="background1" w:themeShade="D9"/>
          <w:spacing w:val="-3"/>
        </w:rPr>
        <w:t xml:space="preserve"> survey and commercial observer</w:t>
      </w:r>
      <w:r w:rsidR="008C337B" w:rsidRPr="00E344EB">
        <w:rPr>
          <w:color w:val="D9D9D9" w:themeColor="background1" w:themeShade="D9"/>
        </w:rPr>
        <w:t>.</w:t>
      </w:r>
      <w:proofErr w:type="gramEnd"/>
    </w:p>
    <w:p w:rsidR="009A66F0" w:rsidRPr="00E344EB" w:rsidRDefault="009A66F0" w:rsidP="009E34A6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  <w:spacing w:val="-3"/>
        </w:rPr>
      </w:pPr>
    </w:p>
    <w:p w:rsidR="003B6499" w:rsidRPr="00E344EB" w:rsidRDefault="003B6499" w:rsidP="009E34A6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  <w:spacing w:val="-3"/>
        </w:rPr>
      </w:pPr>
    </w:p>
    <w:p w:rsidR="001315B0" w:rsidRPr="00E344EB" w:rsidRDefault="001315B0" w:rsidP="001315B0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</w:rPr>
      </w:pPr>
      <w:proofErr w:type="gramStart"/>
      <w:r w:rsidRPr="00E344EB">
        <w:rPr>
          <w:color w:val="D9D9D9" w:themeColor="background1" w:themeShade="D9"/>
          <w:spacing w:val="-3"/>
        </w:rPr>
        <w:t xml:space="preserve">Figure </w:t>
      </w:r>
      <w:r w:rsidR="00C61999" w:rsidRPr="00E344EB">
        <w:rPr>
          <w:color w:val="D9D9D9" w:themeColor="background1" w:themeShade="D9"/>
          <w:spacing w:val="-3"/>
        </w:rPr>
        <w:t>1</w:t>
      </w:r>
      <w:r w:rsidR="003E39DD" w:rsidRPr="00E344EB">
        <w:rPr>
          <w:color w:val="D9D9D9" w:themeColor="background1" w:themeShade="D9"/>
          <w:spacing w:val="-3"/>
        </w:rPr>
        <w:t>6</w:t>
      </w:r>
      <w:r w:rsidR="00F46BD4" w:rsidRPr="00E344EB">
        <w:rPr>
          <w:color w:val="D9D9D9" w:themeColor="background1" w:themeShade="D9"/>
          <w:spacing w:val="-3"/>
        </w:rPr>
        <w:t>.</w:t>
      </w:r>
      <w:proofErr w:type="gramEnd"/>
      <w:r w:rsidR="00F46BD4" w:rsidRPr="00E344EB">
        <w:rPr>
          <w:color w:val="D9D9D9" w:themeColor="background1" w:themeShade="D9"/>
          <w:spacing w:val="-3"/>
        </w:rPr>
        <w:t xml:space="preserve"> </w:t>
      </w:r>
      <w:proofErr w:type="gramStart"/>
      <w:r w:rsidRPr="00E344EB">
        <w:rPr>
          <w:color w:val="D9D9D9" w:themeColor="background1" w:themeShade="D9"/>
          <w:spacing w:val="-3"/>
        </w:rPr>
        <w:t xml:space="preserve">Predicted vs. observed length class proportion </w:t>
      </w:r>
      <w:r w:rsidR="00C61999" w:rsidRPr="00E344EB">
        <w:rPr>
          <w:color w:val="D9D9D9" w:themeColor="background1" w:themeShade="D9"/>
          <w:spacing w:val="-3"/>
        </w:rPr>
        <w:t>for tag recove</w:t>
      </w:r>
      <w:r w:rsidR="006D7AF3" w:rsidRPr="00E344EB">
        <w:rPr>
          <w:color w:val="D9D9D9" w:themeColor="background1" w:themeShade="D9"/>
          <w:spacing w:val="-3"/>
        </w:rPr>
        <w:t>ry data 1980-1992, and 1993-2014</w:t>
      </w:r>
      <w:r w:rsidR="008C337B" w:rsidRPr="00E344EB">
        <w:rPr>
          <w:color w:val="D9D9D9" w:themeColor="background1" w:themeShade="D9"/>
          <w:spacing w:val="-3"/>
        </w:rPr>
        <w:t>.</w:t>
      </w:r>
      <w:proofErr w:type="gramEnd"/>
    </w:p>
    <w:p w:rsidR="003B6499" w:rsidRPr="00E344EB" w:rsidRDefault="003B6499" w:rsidP="001315B0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</w:rPr>
      </w:pPr>
    </w:p>
    <w:p w:rsidR="003B6499" w:rsidRPr="00E344EB" w:rsidRDefault="003B6499" w:rsidP="001315B0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</w:rPr>
      </w:pPr>
    </w:p>
    <w:p w:rsidR="008B4CB0" w:rsidRPr="00E344EB" w:rsidRDefault="00A056CE" w:rsidP="00332872">
      <w:pPr>
        <w:widowControl w:val="0"/>
        <w:tabs>
          <w:tab w:val="left" w:pos="-720"/>
        </w:tabs>
        <w:suppressAutoHyphens/>
        <w:jc w:val="both"/>
        <w:rPr>
          <w:color w:val="D9D9D9" w:themeColor="background1" w:themeShade="D9"/>
          <w:spacing w:val="-3"/>
        </w:rPr>
      </w:pPr>
      <w:proofErr w:type="gramStart"/>
      <w:r w:rsidRPr="00E344EB">
        <w:rPr>
          <w:color w:val="D9D9D9" w:themeColor="background1" w:themeShade="D9"/>
          <w:spacing w:val="-3"/>
        </w:rPr>
        <w:t>Figure 17</w:t>
      </w:r>
      <w:r w:rsidR="008C337B" w:rsidRPr="00E344EB">
        <w:rPr>
          <w:color w:val="D9D9D9" w:themeColor="background1" w:themeShade="D9"/>
          <w:spacing w:val="-3"/>
        </w:rPr>
        <w:t>.</w:t>
      </w:r>
      <w:proofErr w:type="gramEnd"/>
      <w:r w:rsidR="008B4CB0" w:rsidRPr="00E344EB">
        <w:rPr>
          <w:color w:val="D9D9D9" w:themeColor="background1" w:themeShade="D9"/>
          <w:spacing w:val="-3"/>
        </w:rPr>
        <w:t xml:space="preserve"> </w:t>
      </w:r>
      <w:proofErr w:type="gramStart"/>
      <w:r w:rsidR="008B4CB0" w:rsidRPr="00E344EB">
        <w:rPr>
          <w:color w:val="D9D9D9" w:themeColor="background1" w:themeShade="D9"/>
          <w:spacing w:val="-3"/>
        </w:rPr>
        <w:t>Retrospective analyses</w:t>
      </w:r>
      <w:r w:rsidR="0026298F" w:rsidRPr="00E344EB">
        <w:rPr>
          <w:color w:val="D9D9D9" w:themeColor="background1" w:themeShade="D9"/>
        </w:rPr>
        <w:t>.</w:t>
      </w:r>
      <w:proofErr w:type="gramEnd"/>
      <w:r w:rsidR="0026298F" w:rsidRPr="00E344EB">
        <w:rPr>
          <w:color w:val="D9D9D9" w:themeColor="background1" w:themeShade="D9"/>
        </w:rPr>
        <w:t xml:space="preserve"> E</w:t>
      </w:r>
      <w:r w:rsidR="008B4CB0" w:rsidRPr="00E344EB">
        <w:rPr>
          <w:color w:val="D9D9D9" w:themeColor="background1" w:themeShade="D9"/>
        </w:rPr>
        <w:t>ach line shows retrospective MMB</w:t>
      </w:r>
      <w:r w:rsidR="00F46BD4" w:rsidRPr="00E344EB">
        <w:rPr>
          <w:color w:val="D9D9D9" w:themeColor="background1" w:themeShade="D9"/>
        </w:rPr>
        <w:t xml:space="preserve">. </w:t>
      </w:r>
    </w:p>
    <w:p w:rsidR="00C15971" w:rsidRPr="00E344EB" w:rsidRDefault="00C15971">
      <w:pPr>
        <w:spacing w:after="200" w:line="276" w:lineRule="auto"/>
        <w:rPr>
          <w:color w:val="D9D9D9" w:themeColor="background1" w:themeShade="D9"/>
          <w:spacing w:val="-3"/>
        </w:rPr>
      </w:pPr>
    </w:p>
    <w:p w:rsidR="00A056CE" w:rsidRPr="00E344EB" w:rsidRDefault="00A056CE" w:rsidP="00A056CE">
      <w:pPr>
        <w:widowControl w:val="0"/>
        <w:tabs>
          <w:tab w:val="left" w:pos="-720"/>
        </w:tabs>
        <w:suppressAutoHyphens/>
        <w:ind w:left="720" w:hanging="720"/>
        <w:jc w:val="both"/>
        <w:rPr>
          <w:color w:val="D9D9D9" w:themeColor="background1" w:themeShade="D9"/>
          <w:spacing w:val="-3"/>
        </w:rPr>
      </w:pPr>
    </w:p>
    <w:p w:rsidR="00F03448" w:rsidRPr="00E344EB" w:rsidRDefault="00F03448">
      <w:pPr>
        <w:spacing w:after="200" w:line="276" w:lineRule="auto"/>
        <w:rPr>
          <w:color w:val="D9D9D9" w:themeColor="background1" w:themeShade="D9"/>
          <w:spacing w:val="-3"/>
        </w:rPr>
      </w:pPr>
      <w:bookmarkStart w:id="0" w:name="_GoBack"/>
      <w:bookmarkEnd w:id="0"/>
    </w:p>
    <w:sectPr w:rsidR="00F03448" w:rsidRPr="00E344EB" w:rsidSect="00E344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8A" w:rsidRDefault="007E5D8A" w:rsidP="00C33A16">
      <w:r>
        <w:separator/>
      </w:r>
    </w:p>
  </w:endnote>
  <w:endnote w:type="continuationSeparator" w:id="0">
    <w:p w:rsidR="007E5D8A" w:rsidRDefault="007E5D8A" w:rsidP="00C3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16" w:rsidRDefault="00C33A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0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3A16" w:rsidRDefault="00C33A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4EB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C33A16" w:rsidRDefault="00C33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16" w:rsidRDefault="00C33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8A" w:rsidRDefault="007E5D8A" w:rsidP="00C33A16">
      <w:r>
        <w:separator/>
      </w:r>
    </w:p>
  </w:footnote>
  <w:footnote w:type="continuationSeparator" w:id="0">
    <w:p w:rsidR="007E5D8A" w:rsidRDefault="007E5D8A" w:rsidP="00C33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16" w:rsidRDefault="00C33A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16" w:rsidRDefault="00C33A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16" w:rsidRDefault="00C33A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901C5"/>
    <w:multiLevelType w:val="hybridMultilevel"/>
    <w:tmpl w:val="B41E8A1E"/>
    <w:lvl w:ilvl="0" w:tplc="45727E6E">
      <w:start w:val="1"/>
      <w:numFmt w:val="decimal"/>
      <w:lvlText w:val="%1."/>
      <w:lvlJc w:val="right"/>
      <w:pPr>
        <w:ind w:left="1440" w:hanging="360"/>
      </w:pPr>
      <w:rPr>
        <w:rFonts w:ascii="Times New Roman" w:eastAsia="MS Mincho" w:hAnsi="Times New Roman" w:cs="Times New Roman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4F"/>
    <w:rsid w:val="00015A9F"/>
    <w:rsid w:val="00027DF4"/>
    <w:rsid w:val="0003747B"/>
    <w:rsid w:val="00050BB0"/>
    <w:rsid w:val="000551CC"/>
    <w:rsid w:val="00055490"/>
    <w:rsid w:val="000C26E2"/>
    <w:rsid w:val="0011047A"/>
    <w:rsid w:val="0011650B"/>
    <w:rsid w:val="00123E8D"/>
    <w:rsid w:val="00124409"/>
    <w:rsid w:val="001315B0"/>
    <w:rsid w:val="001815E2"/>
    <w:rsid w:val="001965B8"/>
    <w:rsid w:val="0019677D"/>
    <w:rsid w:val="001D2BD4"/>
    <w:rsid w:val="002375BF"/>
    <w:rsid w:val="00246A31"/>
    <w:rsid w:val="00253980"/>
    <w:rsid w:val="0026298F"/>
    <w:rsid w:val="002769FF"/>
    <w:rsid w:val="002851FD"/>
    <w:rsid w:val="00294AE9"/>
    <w:rsid w:val="00297933"/>
    <w:rsid w:val="002C499B"/>
    <w:rsid w:val="002C6B39"/>
    <w:rsid w:val="002C6C32"/>
    <w:rsid w:val="002D3BB3"/>
    <w:rsid w:val="002E3B89"/>
    <w:rsid w:val="00332872"/>
    <w:rsid w:val="00341452"/>
    <w:rsid w:val="0036334C"/>
    <w:rsid w:val="00365BE6"/>
    <w:rsid w:val="00373B28"/>
    <w:rsid w:val="00374691"/>
    <w:rsid w:val="003901DF"/>
    <w:rsid w:val="003A65C7"/>
    <w:rsid w:val="003B6499"/>
    <w:rsid w:val="003D28AC"/>
    <w:rsid w:val="003E2ABA"/>
    <w:rsid w:val="003E39DD"/>
    <w:rsid w:val="003E5EEA"/>
    <w:rsid w:val="0041582B"/>
    <w:rsid w:val="004633DF"/>
    <w:rsid w:val="0047750E"/>
    <w:rsid w:val="004914AC"/>
    <w:rsid w:val="004A58A2"/>
    <w:rsid w:val="004B05B0"/>
    <w:rsid w:val="004C642E"/>
    <w:rsid w:val="004E0D4F"/>
    <w:rsid w:val="005115BA"/>
    <w:rsid w:val="00517752"/>
    <w:rsid w:val="00524A3F"/>
    <w:rsid w:val="00530E4F"/>
    <w:rsid w:val="005514D4"/>
    <w:rsid w:val="00556447"/>
    <w:rsid w:val="00581ADA"/>
    <w:rsid w:val="005E1855"/>
    <w:rsid w:val="0062314F"/>
    <w:rsid w:val="006C2F68"/>
    <w:rsid w:val="006C41A6"/>
    <w:rsid w:val="006D7AF3"/>
    <w:rsid w:val="006F0D7D"/>
    <w:rsid w:val="007031D4"/>
    <w:rsid w:val="0071543A"/>
    <w:rsid w:val="007228EB"/>
    <w:rsid w:val="00766BA9"/>
    <w:rsid w:val="00793F91"/>
    <w:rsid w:val="007A00E6"/>
    <w:rsid w:val="007E5D8A"/>
    <w:rsid w:val="008010F4"/>
    <w:rsid w:val="00850148"/>
    <w:rsid w:val="008838BF"/>
    <w:rsid w:val="008B4CB0"/>
    <w:rsid w:val="008C337B"/>
    <w:rsid w:val="008D216F"/>
    <w:rsid w:val="008F23EF"/>
    <w:rsid w:val="00903C72"/>
    <w:rsid w:val="00926BF1"/>
    <w:rsid w:val="009A66F0"/>
    <w:rsid w:val="009B39D2"/>
    <w:rsid w:val="009B4E8A"/>
    <w:rsid w:val="009B58B9"/>
    <w:rsid w:val="009E25D1"/>
    <w:rsid w:val="009E2AE1"/>
    <w:rsid w:val="009E34A6"/>
    <w:rsid w:val="00A034DA"/>
    <w:rsid w:val="00A056CE"/>
    <w:rsid w:val="00A22C6C"/>
    <w:rsid w:val="00A66CEA"/>
    <w:rsid w:val="00A66EF9"/>
    <w:rsid w:val="00AA5913"/>
    <w:rsid w:val="00AA6F12"/>
    <w:rsid w:val="00B82D9B"/>
    <w:rsid w:val="00BB4C77"/>
    <w:rsid w:val="00BB7DE4"/>
    <w:rsid w:val="00BE15AF"/>
    <w:rsid w:val="00C15971"/>
    <w:rsid w:val="00C232CB"/>
    <w:rsid w:val="00C33A16"/>
    <w:rsid w:val="00C61999"/>
    <w:rsid w:val="00C810E5"/>
    <w:rsid w:val="00C94F5A"/>
    <w:rsid w:val="00CA4118"/>
    <w:rsid w:val="00CA6C6B"/>
    <w:rsid w:val="00CA7F16"/>
    <w:rsid w:val="00D00217"/>
    <w:rsid w:val="00D00E10"/>
    <w:rsid w:val="00D90906"/>
    <w:rsid w:val="00DD10CD"/>
    <w:rsid w:val="00DD67AF"/>
    <w:rsid w:val="00E0014C"/>
    <w:rsid w:val="00E26F08"/>
    <w:rsid w:val="00E344EB"/>
    <w:rsid w:val="00E43FE5"/>
    <w:rsid w:val="00E60C5E"/>
    <w:rsid w:val="00E717DB"/>
    <w:rsid w:val="00E94F07"/>
    <w:rsid w:val="00EA119A"/>
    <w:rsid w:val="00EA4BBA"/>
    <w:rsid w:val="00EC7364"/>
    <w:rsid w:val="00EC7ACC"/>
    <w:rsid w:val="00ED0C99"/>
    <w:rsid w:val="00EE0D19"/>
    <w:rsid w:val="00EF7EEE"/>
    <w:rsid w:val="00F03448"/>
    <w:rsid w:val="00F12252"/>
    <w:rsid w:val="00F137BD"/>
    <w:rsid w:val="00F41E2E"/>
    <w:rsid w:val="00F46BD4"/>
    <w:rsid w:val="00F77B1B"/>
    <w:rsid w:val="00F837E4"/>
    <w:rsid w:val="00F85670"/>
    <w:rsid w:val="00FA1254"/>
    <w:rsid w:val="00FB342A"/>
    <w:rsid w:val="00FB36F2"/>
    <w:rsid w:val="00FB567B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E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title">
    <w:name w:val="Caption title"/>
    <w:basedOn w:val="Caption"/>
    <w:link w:val="CaptiontitleChar1"/>
    <w:rsid w:val="00530E4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eastAsia="Times New Roman"/>
      <w:b w:val="0"/>
      <w:color w:val="auto"/>
      <w:sz w:val="22"/>
      <w:szCs w:val="20"/>
      <w:lang w:eastAsia="en-US"/>
    </w:rPr>
  </w:style>
  <w:style w:type="character" w:customStyle="1" w:styleId="CaptiontitleChar1">
    <w:name w:val="Caption title Char1"/>
    <w:link w:val="Captiontitle"/>
    <w:rsid w:val="00530E4F"/>
    <w:rPr>
      <w:rFonts w:ascii="Times New Roman" w:eastAsia="Times New Roman" w:hAnsi="Times New Roman" w:cs="Times New Roman"/>
      <w:bCs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0E4F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E4F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5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1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1CC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1CC"/>
    <w:rPr>
      <w:rFonts w:ascii="Times New Roman" w:eastAsia="MS Mincho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E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title">
    <w:name w:val="Caption title"/>
    <w:basedOn w:val="Caption"/>
    <w:link w:val="CaptiontitleChar1"/>
    <w:rsid w:val="00530E4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eastAsia="Times New Roman"/>
      <w:b w:val="0"/>
      <w:color w:val="auto"/>
      <w:sz w:val="22"/>
      <w:szCs w:val="20"/>
      <w:lang w:eastAsia="en-US"/>
    </w:rPr>
  </w:style>
  <w:style w:type="character" w:customStyle="1" w:styleId="CaptiontitleChar1">
    <w:name w:val="Caption title Char1"/>
    <w:link w:val="Captiontitle"/>
    <w:rsid w:val="00530E4F"/>
    <w:rPr>
      <w:rFonts w:ascii="Times New Roman" w:eastAsia="Times New Roman" w:hAnsi="Times New Roman" w:cs="Times New Roman"/>
      <w:bCs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0E4F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E4F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A16"/>
    <w:rPr>
      <w:rFonts w:ascii="Times New Roman" w:eastAsia="MS Mincho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5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1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1CC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1CC"/>
    <w:rPr>
      <w:rFonts w:ascii="Times New Roman" w:eastAsia="MS Mincho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6C699-1B89-4145-B3CC-D543E408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Hamazaki, Hamachan (DFG)</cp:lastModifiedBy>
  <cp:revision>10</cp:revision>
  <cp:lastPrinted>2014-12-23T19:31:00Z</cp:lastPrinted>
  <dcterms:created xsi:type="dcterms:W3CDTF">2015-12-21T21:15:00Z</dcterms:created>
  <dcterms:modified xsi:type="dcterms:W3CDTF">2016-09-08T21:04:00Z</dcterms:modified>
</cp:coreProperties>
</file>