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09E5" w14:textId="1F8B154F" w:rsidR="001E5F96" w:rsidRDefault="009D65FB">
      <w:pPr>
        <w:shd w:val="clear" w:color="auto" w:fill="auto"/>
        <w:spacing w:line="259" w:lineRule="auto"/>
        <w:ind w:left="2722"/>
      </w:pPr>
      <w:r>
        <w:rPr>
          <w:b/>
          <w:i w:val="0"/>
          <w:sz w:val="28"/>
        </w:rPr>
        <w:t xml:space="preserve">Status of analytical projects related to the Observer Program </w:t>
      </w:r>
    </w:p>
    <w:p w14:paraId="5CA36A09" w14:textId="1A38CF56" w:rsidR="001E5F96" w:rsidRDefault="001E5F96" w:rsidP="00C812A1">
      <w:pPr>
        <w:shd w:val="clear" w:color="auto" w:fill="auto"/>
        <w:spacing w:line="259" w:lineRule="auto"/>
      </w:pPr>
    </w:p>
    <w:tbl>
      <w:tblPr>
        <w:tblStyle w:val="TableGrid"/>
        <w:tblW w:w="13771" w:type="dxa"/>
        <w:tblInd w:w="-116" w:type="dxa"/>
        <w:tblCellMar>
          <w:top w:w="38" w:type="dxa"/>
          <w:left w:w="58" w:type="dxa"/>
          <w:right w:w="23" w:type="dxa"/>
        </w:tblCellMar>
        <w:tblLook w:val="04A0" w:firstRow="1" w:lastRow="0" w:firstColumn="1" w:lastColumn="0" w:noHBand="0" w:noVBand="1"/>
      </w:tblPr>
      <w:tblGrid>
        <w:gridCol w:w="741"/>
        <w:gridCol w:w="2023"/>
        <w:gridCol w:w="5901"/>
        <w:gridCol w:w="5106"/>
      </w:tblGrid>
      <w:tr w:rsidR="001E5F96" w14:paraId="6AC4C10D" w14:textId="77777777" w:rsidTr="00D30E23">
        <w:trPr>
          <w:trHeight w:val="422"/>
          <w:tblHeader/>
        </w:trPr>
        <w:tc>
          <w:tcPr>
            <w:tcW w:w="741"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427CC91" w14:textId="77777777" w:rsidR="001E5F96" w:rsidRDefault="009D65FB">
            <w:pPr>
              <w:shd w:val="clear" w:color="auto" w:fill="auto"/>
              <w:spacing w:line="259" w:lineRule="auto"/>
              <w:ind w:left="30"/>
            </w:pPr>
            <w:r>
              <w:rPr>
                <w:b/>
                <w:i w:val="0"/>
                <w:color w:val="FFFFFF"/>
                <w:sz w:val="16"/>
              </w:rPr>
              <w:t>Priority</w:t>
            </w:r>
            <w:r>
              <w:rPr>
                <w:i w:val="0"/>
                <w:color w:val="FFFFFF"/>
              </w:rPr>
              <w:t xml:space="preserve"> </w:t>
            </w:r>
          </w:p>
        </w:tc>
        <w:tc>
          <w:tcPr>
            <w:tcW w:w="2023" w:type="dxa"/>
            <w:tcBorders>
              <w:top w:val="single" w:sz="4" w:space="0" w:color="000000"/>
              <w:left w:val="single" w:sz="4" w:space="0" w:color="000000"/>
              <w:bottom w:val="single" w:sz="4" w:space="0" w:color="000000"/>
              <w:right w:val="single" w:sz="4" w:space="0" w:color="000000"/>
            </w:tcBorders>
            <w:shd w:val="clear" w:color="auto" w:fill="4F81BD"/>
          </w:tcPr>
          <w:p w14:paraId="05DF7C5E" w14:textId="77777777" w:rsidR="001E5F96" w:rsidRDefault="009D65FB">
            <w:pPr>
              <w:shd w:val="clear" w:color="auto" w:fill="auto"/>
              <w:spacing w:line="259" w:lineRule="auto"/>
              <w:ind w:right="37"/>
              <w:jc w:val="center"/>
            </w:pPr>
            <w:r>
              <w:rPr>
                <w:b/>
                <w:i w:val="0"/>
                <w:color w:val="FFFFFF"/>
              </w:rPr>
              <w:t>Name</w:t>
            </w:r>
            <w:r>
              <w:rPr>
                <w:i w:val="0"/>
                <w:color w:val="FFFFFF"/>
              </w:rP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4F81BD"/>
          </w:tcPr>
          <w:p w14:paraId="69B2E3A2" w14:textId="77777777" w:rsidR="001E5F96" w:rsidRDefault="009D65FB">
            <w:pPr>
              <w:shd w:val="clear" w:color="auto" w:fill="auto"/>
              <w:spacing w:line="259" w:lineRule="auto"/>
              <w:ind w:right="36"/>
              <w:jc w:val="center"/>
            </w:pPr>
            <w:r>
              <w:rPr>
                <w:b/>
                <w:i w:val="0"/>
                <w:color w:val="FFFFFF"/>
              </w:rPr>
              <w:t>Description</w:t>
            </w:r>
            <w:r>
              <w:rPr>
                <w:i w:val="0"/>
                <w:color w:val="FFFFFF"/>
              </w:rPr>
              <w:t xml:space="preserve"> </w:t>
            </w:r>
          </w:p>
        </w:tc>
        <w:tc>
          <w:tcPr>
            <w:tcW w:w="5106" w:type="dxa"/>
            <w:tcBorders>
              <w:top w:val="single" w:sz="4" w:space="0" w:color="000000"/>
              <w:left w:val="single" w:sz="4" w:space="0" w:color="000000"/>
              <w:bottom w:val="single" w:sz="4" w:space="0" w:color="000000"/>
              <w:right w:val="single" w:sz="4" w:space="0" w:color="000000"/>
            </w:tcBorders>
            <w:shd w:val="clear" w:color="auto" w:fill="4F81BD"/>
          </w:tcPr>
          <w:p w14:paraId="0ED3B49E" w14:textId="77777777" w:rsidR="001E5F96" w:rsidRDefault="009D65FB">
            <w:pPr>
              <w:shd w:val="clear" w:color="auto" w:fill="auto"/>
              <w:spacing w:line="259" w:lineRule="auto"/>
              <w:ind w:right="41"/>
              <w:jc w:val="center"/>
            </w:pPr>
            <w:r>
              <w:rPr>
                <w:b/>
                <w:i w:val="0"/>
                <w:color w:val="FFFFFF"/>
              </w:rPr>
              <w:t>Status / Due Date / Target Date</w:t>
            </w:r>
            <w:r>
              <w:rPr>
                <w:i w:val="0"/>
                <w:color w:val="FFFFFF"/>
              </w:rPr>
              <w:t xml:space="preserve"> </w:t>
            </w:r>
          </w:p>
        </w:tc>
      </w:tr>
      <w:tr w:rsidR="001E5F96" w14:paraId="3AC56867" w14:textId="77777777" w:rsidTr="00D30E23">
        <w:trPr>
          <w:trHeight w:val="450"/>
        </w:trPr>
        <w:tc>
          <w:tcPr>
            <w:tcW w:w="13771"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192EFDA5" w14:textId="77777777" w:rsidR="001E5F96" w:rsidRDefault="009D65FB">
            <w:pPr>
              <w:shd w:val="clear" w:color="auto" w:fill="auto"/>
              <w:spacing w:line="259" w:lineRule="auto"/>
              <w:ind w:left="839"/>
            </w:pPr>
            <w:r>
              <w:rPr>
                <w:b/>
              </w:rPr>
              <w:t xml:space="preserve">Program-level Projects </w:t>
            </w:r>
          </w:p>
        </w:tc>
      </w:tr>
      <w:tr w:rsidR="001E5F96" w14:paraId="4C5D6DA2" w14:textId="77777777" w:rsidTr="00D30E23">
        <w:trPr>
          <w:trHeight w:val="771"/>
        </w:trPr>
        <w:tc>
          <w:tcPr>
            <w:tcW w:w="741" w:type="dxa"/>
            <w:tcBorders>
              <w:top w:val="single" w:sz="4" w:space="0" w:color="000000"/>
              <w:left w:val="single" w:sz="4" w:space="0" w:color="000000"/>
              <w:bottom w:val="single" w:sz="4" w:space="0" w:color="000000"/>
              <w:right w:val="single" w:sz="4" w:space="0" w:color="000000"/>
            </w:tcBorders>
            <w:vAlign w:val="center"/>
          </w:tcPr>
          <w:p w14:paraId="4242F981" w14:textId="77777777" w:rsidR="001E5F96" w:rsidRDefault="009D65FB" w:rsidP="00C907E8">
            <w:pPr>
              <w:shd w:val="clear" w:color="auto" w:fill="auto"/>
              <w:spacing w:line="259" w:lineRule="auto"/>
              <w:ind w:right="38"/>
            </w:pPr>
            <w:r>
              <w:rPr>
                <w:i w:val="0"/>
              </w:rPr>
              <w:t xml:space="preserve">1 </w:t>
            </w:r>
          </w:p>
        </w:tc>
        <w:tc>
          <w:tcPr>
            <w:tcW w:w="2023" w:type="dxa"/>
            <w:tcBorders>
              <w:top w:val="single" w:sz="4" w:space="0" w:color="000000"/>
              <w:left w:val="single" w:sz="4" w:space="0" w:color="000000"/>
              <w:bottom w:val="single" w:sz="4" w:space="0" w:color="000000"/>
              <w:right w:val="single" w:sz="4" w:space="0" w:color="000000"/>
            </w:tcBorders>
            <w:vAlign w:val="center"/>
          </w:tcPr>
          <w:p w14:paraId="1E6AABA6" w14:textId="77777777" w:rsidR="001E5F96" w:rsidRDefault="009D65FB" w:rsidP="00C907E8">
            <w:pPr>
              <w:shd w:val="clear" w:color="auto" w:fill="auto"/>
              <w:spacing w:line="259" w:lineRule="auto"/>
            </w:pPr>
            <w:r>
              <w:rPr>
                <w:i w:val="0"/>
              </w:rPr>
              <w:t xml:space="preserve">Annual Report/ </w:t>
            </w:r>
          </w:p>
          <w:p w14:paraId="7D47B45A" w14:textId="77777777" w:rsidR="001E5F96" w:rsidRDefault="009D65FB" w:rsidP="00C907E8">
            <w:pPr>
              <w:shd w:val="clear" w:color="auto" w:fill="auto"/>
              <w:spacing w:line="259" w:lineRule="auto"/>
            </w:pPr>
            <w:r>
              <w:rPr>
                <w:i w:val="0"/>
              </w:rPr>
              <w:t xml:space="preserve">Annual Deployment Plan  </w:t>
            </w:r>
          </w:p>
        </w:tc>
        <w:tc>
          <w:tcPr>
            <w:tcW w:w="5901" w:type="dxa"/>
            <w:tcBorders>
              <w:top w:val="single" w:sz="4" w:space="0" w:color="000000"/>
              <w:left w:val="single" w:sz="4" w:space="0" w:color="000000"/>
              <w:bottom w:val="single" w:sz="4" w:space="0" w:color="000000"/>
              <w:right w:val="single" w:sz="4" w:space="0" w:color="000000"/>
            </w:tcBorders>
            <w:vAlign w:val="center"/>
          </w:tcPr>
          <w:p w14:paraId="42DED19D" w14:textId="77777777" w:rsidR="001E5F96" w:rsidRDefault="009D65FB" w:rsidP="00C907E8">
            <w:pPr>
              <w:shd w:val="clear" w:color="auto" w:fill="auto"/>
              <w:spacing w:line="259" w:lineRule="auto"/>
            </w:pPr>
            <w:r>
              <w:rPr>
                <w:i w:val="0"/>
              </w:rPr>
              <w:t xml:space="preserve">Every year, an Annual Report of the preceding fishing year and an Annual Deployment Plan (ADP) for the upcoming fishing year are prepared.  </w:t>
            </w:r>
          </w:p>
        </w:tc>
        <w:tc>
          <w:tcPr>
            <w:tcW w:w="5106" w:type="dxa"/>
            <w:tcBorders>
              <w:top w:val="single" w:sz="4" w:space="0" w:color="000000"/>
              <w:left w:val="single" w:sz="4" w:space="0" w:color="000000"/>
              <w:bottom w:val="single" w:sz="4" w:space="0" w:color="000000"/>
              <w:right w:val="single" w:sz="4" w:space="0" w:color="000000"/>
            </w:tcBorders>
            <w:vAlign w:val="center"/>
          </w:tcPr>
          <w:p w14:paraId="791C43AE" w14:textId="6577986A" w:rsidR="001E5F96" w:rsidRDefault="009D65FB" w:rsidP="00C907E8">
            <w:pPr>
              <w:shd w:val="clear" w:color="auto" w:fill="auto"/>
              <w:spacing w:line="259" w:lineRule="auto"/>
            </w:pPr>
            <w:r>
              <w:rPr>
                <w:i w:val="0"/>
              </w:rPr>
              <w:t xml:space="preserve">The FMAC and the Council will review the </w:t>
            </w:r>
            <w:r w:rsidR="003A1FD2">
              <w:rPr>
                <w:i w:val="0"/>
              </w:rPr>
              <w:t>Draft 2020 ADP in September and October</w:t>
            </w:r>
            <w:r>
              <w:rPr>
                <w:i w:val="0"/>
              </w:rPr>
              <w:t xml:space="preserve"> respectively.  </w:t>
            </w:r>
          </w:p>
        </w:tc>
      </w:tr>
      <w:tr w:rsidR="001E5F96" w14:paraId="1E783CDB" w14:textId="77777777" w:rsidTr="00D30E23">
        <w:trPr>
          <w:trHeight w:val="1217"/>
        </w:trPr>
        <w:tc>
          <w:tcPr>
            <w:tcW w:w="741" w:type="dxa"/>
            <w:tcBorders>
              <w:top w:val="single" w:sz="4" w:space="0" w:color="000000"/>
              <w:left w:val="single" w:sz="4" w:space="0" w:color="000000"/>
              <w:bottom w:val="single" w:sz="4" w:space="0" w:color="000000"/>
              <w:right w:val="single" w:sz="4" w:space="0" w:color="000000"/>
            </w:tcBorders>
            <w:vAlign w:val="center"/>
          </w:tcPr>
          <w:p w14:paraId="3743D0C5" w14:textId="77777777" w:rsidR="001E5F96" w:rsidRDefault="009D65FB" w:rsidP="00C907E8">
            <w:pPr>
              <w:shd w:val="clear" w:color="auto" w:fill="auto"/>
              <w:spacing w:line="259" w:lineRule="auto"/>
              <w:ind w:right="38"/>
            </w:pPr>
            <w:r>
              <w:rPr>
                <w:i w:val="0"/>
              </w:rPr>
              <w:t xml:space="preserve">2 </w:t>
            </w:r>
          </w:p>
        </w:tc>
        <w:tc>
          <w:tcPr>
            <w:tcW w:w="2023" w:type="dxa"/>
            <w:tcBorders>
              <w:top w:val="single" w:sz="4" w:space="0" w:color="000000"/>
              <w:left w:val="single" w:sz="4" w:space="0" w:color="000000"/>
              <w:bottom w:val="single" w:sz="4" w:space="0" w:color="000000"/>
              <w:right w:val="single" w:sz="4" w:space="0" w:color="000000"/>
            </w:tcBorders>
            <w:vAlign w:val="center"/>
          </w:tcPr>
          <w:p w14:paraId="3FACE524" w14:textId="77777777" w:rsidR="001E5F96" w:rsidRDefault="009D65FB" w:rsidP="00C907E8">
            <w:pPr>
              <w:shd w:val="clear" w:color="auto" w:fill="auto"/>
              <w:spacing w:line="259" w:lineRule="auto"/>
            </w:pPr>
            <w:r>
              <w:rPr>
                <w:i w:val="0"/>
              </w:rPr>
              <w:t xml:space="preserve">Analysis of catch and bycatch estimation methods </w:t>
            </w:r>
          </w:p>
        </w:tc>
        <w:tc>
          <w:tcPr>
            <w:tcW w:w="5901" w:type="dxa"/>
            <w:tcBorders>
              <w:top w:val="single" w:sz="4" w:space="0" w:color="000000"/>
              <w:left w:val="single" w:sz="4" w:space="0" w:color="000000"/>
              <w:bottom w:val="single" w:sz="4" w:space="0" w:color="000000"/>
              <w:right w:val="single" w:sz="4" w:space="0" w:color="000000"/>
            </w:tcBorders>
            <w:vAlign w:val="center"/>
          </w:tcPr>
          <w:p w14:paraId="66DF6C2B" w14:textId="715FDA15" w:rsidR="001E5F96" w:rsidRDefault="009D65FB" w:rsidP="00C907E8">
            <w:pPr>
              <w:shd w:val="clear" w:color="auto" w:fill="auto"/>
              <w:spacing w:line="259" w:lineRule="auto"/>
            </w:pPr>
            <w:r>
              <w:rPr>
                <w:i w:val="0"/>
              </w:rPr>
              <w:t>Ongoing analysis of catch and bycatch estimation methods, including evaluating design-based and ratio estimators; incorporating variance from at-sea sampling through to the trip</w:t>
            </w:r>
            <w:r w:rsidR="003A1FD2">
              <w:rPr>
                <w:i w:val="0"/>
              </w:rPr>
              <w:t xml:space="preserve"> </w:t>
            </w:r>
            <w:r>
              <w:rPr>
                <w:i w:val="0"/>
              </w:rPr>
              <w:t xml:space="preserve">level; and then assessing post-strata definitions. </w:t>
            </w:r>
          </w:p>
        </w:tc>
        <w:tc>
          <w:tcPr>
            <w:tcW w:w="5106" w:type="dxa"/>
            <w:tcBorders>
              <w:top w:val="single" w:sz="4" w:space="0" w:color="000000"/>
              <w:left w:val="single" w:sz="4" w:space="0" w:color="000000"/>
              <w:bottom w:val="single" w:sz="4" w:space="0" w:color="000000"/>
              <w:right w:val="single" w:sz="4" w:space="0" w:color="000000"/>
            </w:tcBorders>
            <w:vAlign w:val="center"/>
          </w:tcPr>
          <w:p w14:paraId="2445A283" w14:textId="6D4E07BC" w:rsidR="001E5F96" w:rsidRDefault="009D65FB" w:rsidP="00C907E8">
            <w:pPr>
              <w:shd w:val="clear" w:color="auto" w:fill="auto"/>
              <w:spacing w:line="259" w:lineRule="auto"/>
            </w:pPr>
            <w:r>
              <w:rPr>
                <w:i w:val="0"/>
              </w:rPr>
              <w:t>NMFS is continuing work to incorporate programming into CAS and evaluate alternative estimators and post</w:t>
            </w:r>
            <w:r w:rsidR="00E64324">
              <w:rPr>
                <w:i w:val="0"/>
              </w:rPr>
              <w:t>-</w:t>
            </w:r>
            <w:r>
              <w:rPr>
                <w:i w:val="0"/>
              </w:rPr>
              <w:t xml:space="preserve">strata. </w:t>
            </w:r>
            <w:r w:rsidR="00397C19">
              <w:rPr>
                <w:i w:val="0"/>
              </w:rPr>
              <w:t>Staff are finishing up a Tech Memo on variance estimates.</w:t>
            </w:r>
          </w:p>
        </w:tc>
      </w:tr>
      <w:tr w:rsidR="001E5F96" w14:paraId="2D3E1A88" w14:textId="77777777" w:rsidTr="00D30E23">
        <w:trPr>
          <w:trHeight w:val="989"/>
        </w:trPr>
        <w:tc>
          <w:tcPr>
            <w:tcW w:w="741" w:type="dxa"/>
            <w:tcBorders>
              <w:top w:val="single" w:sz="4" w:space="0" w:color="000000"/>
              <w:left w:val="single" w:sz="4" w:space="0" w:color="000000"/>
              <w:bottom w:val="single" w:sz="4" w:space="0" w:color="000000"/>
              <w:right w:val="single" w:sz="4" w:space="0" w:color="000000"/>
            </w:tcBorders>
            <w:vAlign w:val="center"/>
          </w:tcPr>
          <w:p w14:paraId="05C3590E" w14:textId="77777777" w:rsidR="001E5F96" w:rsidRDefault="009D65FB" w:rsidP="00C907E8">
            <w:pPr>
              <w:shd w:val="clear" w:color="auto" w:fill="auto"/>
              <w:spacing w:line="259" w:lineRule="auto"/>
              <w:ind w:right="38"/>
            </w:pPr>
            <w:r>
              <w:rPr>
                <w:i w:val="0"/>
              </w:rPr>
              <w:t xml:space="preserve">3 </w:t>
            </w:r>
          </w:p>
        </w:tc>
        <w:tc>
          <w:tcPr>
            <w:tcW w:w="2023" w:type="dxa"/>
            <w:tcBorders>
              <w:top w:val="single" w:sz="4" w:space="0" w:color="000000"/>
              <w:left w:val="single" w:sz="4" w:space="0" w:color="000000"/>
              <w:bottom w:val="single" w:sz="4" w:space="0" w:color="000000"/>
              <w:right w:val="single" w:sz="4" w:space="0" w:color="000000"/>
            </w:tcBorders>
            <w:vAlign w:val="center"/>
          </w:tcPr>
          <w:p w14:paraId="323C2A1B" w14:textId="77777777" w:rsidR="001E5F96" w:rsidRDefault="009D65FB" w:rsidP="00C907E8">
            <w:pPr>
              <w:shd w:val="clear" w:color="auto" w:fill="auto"/>
              <w:spacing w:line="259" w:lineRule="auto"/>
            </w:pPr>
            <w:r>
              <w:rPr>
                <w:i w:val="0"/>
              </w:rPr>
              <w:t xml:space="preserve">Report on onboard observer sampling  </w:t>
            </w:r>
          </w:p>
        </w:tc>
        <w:tc>
          <w:tcPr>
            <w:tcW w:w="5901" w:type="dxa"/>
            <w:tcBorders>
              <w:top w:val="single" w:sz="4" w:space="0" w:color="000000"/>
              <w:left w:val="single" w:sz="4" w:space="0" w:color="000000"/>
              <w:bottom w:val="single" w:sz="4" w:space="0" w:color="000000"/>
              <w:right w:val="single" w:sz="4" w:space="0" w:color="000000"/>
            </w:tcBorders>
            <w:vAlign w:val="center"/>
          </w:tcPr>
          <w:p w14:paraId="4928143E" w14:textId="77777777" w:rsidR="001E5F96" w:rsidRDefault="009D65FB" w:rsidP="00C907E8">
            <w:pPr>
              <w:shd w:val="clear" w:color="auto" w:fill="auto"/>
              <w:spacing w:line="259" w:lineRule="auto"/>
            </w:pPr>
            <w:r>
              <w:rPr>
                <w:i w:val="0"/>
              </w:rPr>
              <w:t xml:space="preserve">Report on observer sampling results, e.g., proportion of total hauls that are sampled, by vessel size and gear. This item was requested by the Council in June 2016 during review of the Annual Report. </w:t>
            </w:r>
          </w:p>
        </w:tc>
        <w:tc>
          <w:tcPr>
            <w:tcW w:w="5106" w:type="dxa"/>
            <w:tcBorders>
              <w:top w:val="single" w:sz="4" w:space="0" w:color="000000"/>
              <w:left w:val="single" w:sz="4" w:space="0" w:color="000000"/>
              <w:bottom w:val="single" w:sz="4" w:space="0" w:color="000000"/>
              <w:right w:val="single" w:sz="4" w:space="0" w:color="000000"/>
            </w:tcBorders>
            <w:vAlign w:val="center"/>
          </w:tcPr>
          <w:p w14:paraId="219D5E79" w14:textId="12A10255" w:rsidR="001E5F96" w:rsidRDefault="009D65FB" w:rsidP="00C907E8">
            <w:pPr>
              <w:shd w:val="clear" w:color="auto" w:fill="auto"/>
              <w:spacing w:line="259" w:lineRule="auto"/>
            </w:pPr>
            <w:r>
              <w:rPr>
                <w:i w:val="0"/>
              </w:rPr>
              <w:t xml:space="preserve">This report was presented to the FMAC in May 2017, and an AFSC tech memo is </w:t>
            </w:r>
            <w:r w:rsidR="0078757F">
              <w:rPr>
                <w:i w:val="0"/>
              </w:rPr>
              <w:t>in peer review and is expected to be published by the end of 2019</w:t>
            </w:r>
            <w:r>
              <w:rPr>
                <w:i w:val="0"/>
              </w:rPr>
              <w:t xml:space="preserve">. </w:t>
            </w:r>
          </w:p>
        </w:tc>
      </w:tr>
      <w:tr w:rsidR="001B1B48" w14:paraId="0E7F05EE" w14:textId="77777777" w:rsidTr="00D30E23">
        <w:trPr>
          <w:trHeight w:val="989"/>
        </w:trPr>
        <w:tc>
          <w:tcPr>
            <w:tcW w:w="741" w:type="dxa"/>
            <w:tcBorders>
              <w:top w:val="single" w:sz="4" w:space="0" w:color="000000"/>
              <w:left w:val="single" w:sz="4" w:space="0" w:color="000000"/>
              <w:bottom w:val="single" w:sz="4" w:space="0" w:color="000000"/>
              <w:right w:val="single" w:sz="4" w:space="0" w:color="000000"/>
            </w:tcBorders>
            <w:vAlign w:val="center"/>
          </w:tcPr>
          <w:p w14:paraId="428C8D53" w14:textId="77777777" w:rsidR="001B1B48" w:rsidRPr="006C4219" w:rsidRDefault="006C4219" w:rsidP="00C907E8">
            <w:pPr>
              <w:shd w:val="clear" w:color="auto" w:fill="auto"/>
              <w:spacing w:line="259" w:lineRule="auto"/>
              <w:ind w:right="38"/>
              <w:rPr>
                <w:i w:val="0"/>
              </w:rPr>
            </w:pPr>
            <w:r>
              <w:rPr>
                <w:i w:val="0"/>
              </w:rPr>
              <w:t>4</w:t>
            </w:r>
          </w:p>
        </w:tc>
        <w:tc>
          <w:tcPr>
            <w:tcW w:w="2023" w:type="dxa"/>
            <w:tcBorders>
              <w:top w:val="single" w:sz="4" w:space="0" w:color="000000"/>
              <w:left w:val="single" w:sz="4" w:space="0" w:color="000000"/>
              <w:bottom w:val="single" w:sz="4" w:space="0" w:color="000000"/>
              <w:right w:val="single" w:sz="4" w:space="0" w:color="000000"/>
            </w:tcBorders>
            <w:vAlign w:val="center"/>
          </w:tcPr>
          <w:p w14:paraId="251692A7" w14:textId="64AA1541" w:rsidR="001B1B48" w:rsidRDefault="003A1FD2" w:rsidP="00C907E8">
            <w:pPr>
              <w:shd w:val="clear" w:color="auto" w:fill="auto"/>
              <w:spacing w:line="259" w:lineRule="auto"/>
              <w:rPr>
                <w:i w:val="0"/>
              </w:rPr>
            </w:pPr>
            <w:r>
              <w:rPr>
                <w:i w:val="0"/>
              </w:rPr>
              <w:t xml:space="preserve">Biological </w:t>
            </w:r>
            <w:r w:rsidR="000D4FAB">
              <w:rPr>
                <w:i w:val="0"/>
              </w:rPr>
              <w:t>Data Assessment</w:t>
            </w:r>
          </w:p>
          <w:p w14:paraId="6E04E0EA" w14:textId="530A7CE7" w:rsidR="006C4219" w:rsidRDefault="006C4219" w:rsidP="00C907E8">
            <w:pPr>
              <w:shd w:val="clear" w:color="auto" w:fill="auto"/>
              <w:spacing w:line="259" w:lineRule="auto"/>
              <w:rPr>
                <w:i w:val="0"/>
              </w:rPr>
            </w:pPr>
          </w:p>
        </w:tc>
        <w:tc>
          <w:tcPr>
            <w:tcW w:w="5901" w:type="dxa"/>
            <w:tcBorders>
              <w:top w:val="single" w:sz="4" w:space="0" w:color="000000"/>
              <w:left w:val="single" w:sz="4" w:space="0" w:color="000000"/>
              <w:bottom w:val="single" w:sz="4" w:space="0" w:color="000000"/>
              <w:right w:val="single" w:sz="4" w:space="0" w:color="000000"/>
            </w:tcBorders>
            <w:vAlign w:val="center"/>
          </w:tcPr>
          <w:p w14:paraId="4C355F74" w14:textId="0A59524C" w:rsidR="001B1B48" w:rsidRDefault="003A1FD2" w:rsidP="00C907E8">
            <w:pPr>
              <w:shd w:val="clear" w:color="auto" w:fill="auto"/>
              <w:spacing w:line="259" w:lineRule="auto"/>
              <w:rPr>
                <w:i w:val="0"/>
              </w:rPr>
            </w:pPr>
            <w:r w:rsidRPr="003A1FD2">
              <w:rPr>
                <w:i w:val="0"/>
              </w:rPr>
              <w:t xml:space="preserve">The AFSC is </w:t>
            </w:r>
            <w:proofErr w:type="gramStart"/>
            <w:r w:rsidRPr="003A1FD2">
              <w:rPr>
                <w:i w:val="0"/>
              </w:rPr>
              <w:t>conducting an assessment of</w:t>
            </w:r>
            <w:proofErr w:type="gramEnd"/>
            <w:r w:rsidRPr="003A1FD2">
              <w:rPr>
                <w:i w:val="0"/>
              </w:rPr>
              <w:t xml:space="preserve"> the current way</w:t>
            </w:r>
            <w:r w:rsidR="0056103D">
              <w:rPr>
                <w:i w:val="0"/>
              </w:rPr>
              <w:t xml:space="preserve"> </w:t>
            </w:r>
            <w:r w:rsidRPr="003A1FD2">
              <w:rPr>
                <w:i w:val="0"/>
              </w:rPr>
              <w:t xml:space="preserve">biological information collected by observers </w:t>
            </w:r>
            <w:r w:rsidR="00E64324">
              <w:rPr>
                <w:i w:val="0"/>
              </w:rPr>
              <w:t>is</w:t>
            </w:r>
            <w:r w:rsidRPr="003A1FD2">
              <w:rPr>
                <w:i w:val="0"/>
              </w:rPr>
              <w:t xml:space="preserve"> used in stock</w:t>
            </w:r>
            <w:r w:rsidR="0056103D">
              <w:rPr>
                <w:i w:val="0"/>
              </w:rPr>
              <w:t xml:space="preserve"> </w:t>
            </w:r>
            <w:r w:rsidRPr="003A1FD2">
              <w:rPr>
                <w:i w:val="0"/>
              </w:rPr>
              <w:t xml:space="preserve">assessments. The result of </w:t>
            </w:r>
            <w:r w:rsidR="0056103D">
              <w:rPr>
                <w:i w:val="0"/>
              </w:rPr>
              <w:t>th</w:t>
            </w:r>
            <w:r w:rsidRPr="003A1FD2">
              <w:rPr>
                <w:i w:val="0"/>
              </w:rPr>
              <w:t>is pro</w:t>
            </w:r>
            <w:r w:rsidR="0056103D">
              <w:rPr>
                <w:i w:val="0"/>
              </w:rPr>
              <w:t>ject</w:t>
            </w:r>
            <w:r w:rsidRPr="003A1FD2">
              <w:rPr>
                <w:i w:val="0"/>
              </w:rPr>
              <w:t xml:space="preserve"> is to provide the scale</w:t>
            </w:r>
            <w:r w:rsidR="0056103D">
              <w:rPr>
                <w:i w:val="0"/>
              </w:rPr>
              <w:t xml:space="preserve"> </w:t>
            </w:r>
            <w:r w:rsidRPr="003A1FD2">
              <w:rPr>
                <w:i w:val="0"/>
              </w:rPr>
              <w:t>and scope of data needs in the current program.</w:t>
            </w:r>
          </w:p>
        </w:tc>
        <w:tc>
          <w:tcPr>
            <w:tcW w:w="5106" w:type="dxa"/>
            <w:tcBorders>
              <w:top w:val="single" w:sz="4" w:space="0" w:color="000000"/>
              <w:left w:val="single" w:sz="4" w:space="0" w:color="000000"/>
              <w:bottom w:val="single" w:sz="4" w:space="0" w:color="000000"/>
              <w:right w:val="single" w:sz="4" w:space="0" w:color="000000"/>
            </w:tcBorders>
            <w:vAlign w:val="center"/>
          </w:tcPr>
          <w:p w14:paraId="369BB517" w14:textId="33384521" w:rsidR="001B1B48" w:rsidRPr="00E64324" w:rsidRDefault="00E64324" w:rsidP="00C907E8">
            <w:pPr>
              <w:shd w:val="clear" w:color="auto" w:fill="auto"/>
              <w:spacing w:line="259" w:lineRule="auto"/>
              <w:rPr>
                <w:i w:val="0"/>
              </w:rPr>
            </w:pPr>
            <w:r w:rsidRPr="00E64324">
              <w:rPr>
                <w:i w:val="0"/>
              </w:rPr>
              <w:t>Preliminary information has been collected from stock assessment authors. FMA will compile this by early 2020.</w:t>
            </w:r>
          </w:p>
        </w:tc>
      </w:tr>
      <w:tr w:rsidR="001E5F96" w14:paraId="61112325" w14:textId="77777777" w:rsidTr="00D30E23">
        <w:trPr>
          <w:trHeight w:val="1447"/>
        </w:trPr>
        <w:tc>
          <w:tcPr>
            <w:tcW w:w="741" w:type="dxa"/>
            <w:tcBorders>
              <w:top w:val="single" w:sz="4" w:space="0" w:color="000000"/>
              <w:left w:val="single" w:sz="4" w:space="0" w:color="000000"/>
              <w:bottom w:val="single" w:sz="4" w:space="0" w:color="000000"/>
              <w:right w:val="single" w:sz="4" w:space="0" w:color="000000"/>
            </w:tcBorders>
            <w:vAlign w:val="center"/>
          </w:tcPr>
          <w:p w14:paraId="3A133562" w14:textId="77777777" w:rsidR="001E5F96" w:rsidRDefault="0023403F" w:rsidP="00C907E8">
            <w:pPr>
              <w:shd w:val="clear" w:color="auto" w:fill="auto"/>
              <w:spacing w:line="259" w:lineRule="auto"/>
              <w:ind w:right="38"/>
            </w:pPr>
            <w:r>
              <w:rPr>
                <w:i w:val="0"/>
              </w:rPr>
              <w:t>5</w:t>
            </w:r>
            <w:r w:rsidR="009D65FB">
              <w:rPr>
                <w:i w:val="0"/>
              </w:rPr>
              <w:t xml:space="preserve"> </w:t>
            </w:r>
          </w:p>
        </w:tc>
        <w:tc>
          <w:tcPr>
            <w:tcW w:w="2023" w:type="dxa"/>
            <w:tcBorders>
              <w:top w:val="single" w:sz="4" w:space="0" w:color="000000"/>
              <w:left w:val="single" w:sz="4" w:space="0" w:color="000000"/>
              <w:bottom w:val="single" w:sz="4" w:space="0" w:color="000000"/>
              <w:right w:val="single" w:sz="4" w:space="0" w:color="000000"/>
            </w:tcBorders>
            <w:vAlign w:val="center"/>
          </w:tcPr>
          <w:p w14:paraId="0DF3B3BE" w14:textId="77777777" w:rsidR="001E5F96" w:rsidRDefault="009D65FB" w:rsidP="00C907E8">
            <w:pPr>
              <w:shd w:val="clear" w:color="auto" w:fill="auto"/>
              <w:spacing w:line="259" w:lineRule="auto"/>
            </w:pPr>
            <w:r>
              <w:rPr>
                <w:i w:val="0"/>
              </w:rPr>
              <w:t xml:space="preserve">Average weight of halibut wastage </w:t>
            </w:r>
          </w:p>
        </w:tc>
        <w:tc>
          <w:tcPr>
            <w:tcW w:w="5901" w:type="dxa"/>
            <w:tcBorders>
              <w:top w:val="single" w:sz="4" w:space="0" w:color="000000"/>
              <w:left w:val="single" w:sz="4" w:space="0" w:color="000000"/>
              <w:bottom w:val="single" w:sz="4" w:space="0" w:color="000000"/>
              <w:right w:val="single" w:sz="4" w:space="0" w:color="000000"/>
            </w:tcBorders>
            <w:vAlign w:val="center"/>
          </w:tcPr>
          <w:p w14:paraId="594329E8" w14:textId="77777777" w:rsidR="001E5F96" w:rsidRDefault="009D65FB" w:rsidP="00C907E8">
            <w:pPr>
              <w:shd w:val="clear" w:color="auto" w:fill="auto"/>
              <w:spacing w:line="259" w:lineRule="auto"/>
            </w:pPr>
            <w:r>
              <w:rPr>
                <w:i w:val="0"/>
              </w:rPr>
              <w:t xml:space="preserve">Impact analysis of differences in average weights on the final wastage (discard) estimates of halibut in the IFQ fishery. Currently, CAS estimates halibut discard based on mean weight from the unsorted (retained and discarded) catch. Since halibut &lt;32” are required to be discarded, CAS may be overestimating discarded halibut. </w:t>
            </w:r>
          </w:p>
        </w:tc>
        <w:tc>
          <w:tcPr>
            <w:tcW w:w="5106" w:type="dxa"/>
            <w:tcBorders>
              <w:top w:val="single" w:sz="4" w:space="0" w:color="000000"/>
              <w:left w:val="single" w:sz="4" w:space="0" w:color="000000"/>
              <w:bottom w:val="single" w:sz="4" w:space="0" w:color="000000"/>
              <w:right w:val="single" w:sz="4" w:space="0" w:color="000000"/>
            </w:tcBorders>
            <w:vAlign w:val="center"/>
          </w:tcPr>
          <w:p w14:paraId="51E88A5E" w14:textId="7E1D3F12" w:rsidR="001E5F96" w:rsidRDefault="009D65FB" w:rsidP="00C907E8">
            <w:pPr>
              <w:shd w:val="clear" w:color="auto" w:fill="auto"/>
              <w:spacing w:line="241" w:lineRule="auto"/>
            </w:pPr>
            <w:r>
              <w:rPr>
                <w:i w:val="0"/>
              </w:rPr>
              <w:t xml:space="preserve">In 2016 NMFS modified data collection methods for halibut viability so that it is part of randomized biological sampling. </w:t>
            </w:r>
            <w:r w:rsidR="00397C19">
              <w:rPr>
                <w:i w:val="0"/>
              </w:rPr>
              <w:t xml:space="preserve">Staff have begun analysis and will present preliminary results at the American Fisheries Society meeting in </w:t>
            </w:r>
            <w:proofErr w:type="gramStart"/>
            <w:r w:rsidR="00397C19">
              <w:rPr>
                <w:i w:val="0"/>
              </w:rPr>
              <w:t>October,</w:t>
            </w:r>
            <w:proofErr w:type="gramEnd"/>
            <w:r w:rsidR="00397C19">
              <w:rPr>
                <w:i w:val="0"/>
              </w:rPr>
              <w:t xml:space="preserve"> 2019</w:t>
            </w:r>
            <w:r w:rsidR="0023403F" w:rsidRPr="003A1FD2">
              <w:rPr>
                <w:i w:val="0"/>
              </w:rPr>
              <w:t>.</w:t>
            </w:r>
            <w:r w:rsidR="0023403F">
              <w:rPr>
                <w:i w:val="0"/>
              </w:rPr>
              <w:t xml:space="preserve"> </w:t>
            </w:r>
          </w:p>
        </w:tc>
      </w:tr>
      <w:tr w:rsidR="00144CE5" w14:paraId="50129611" w14:textId="77777777" w:rsidTr="00EB42E0">
        <w:tblPrEx>
          <w:tblCellMar>
            <w:top w:w="21" w:type="dxa"/>
            <w:right w:w="7" w:type="dxa"/>
          </w:tblCellMar>
        </w:tblPrEx>
        <w:trPr>
          <w:trHeight w:val="1408"/>
        </w:trPr>
        <w:tc>
          <w:tcPr>
            <w:tcW w:w="741" w:type="dxa"/>
            <w:tcBorders>
              <w:top w:val="single" w:sz="8" w:space="0" w:color="000000"/>
              <w:left w:val="single" w:sz="4" w:space="0" w:color="000000"/>
              <w:bottom w:val="single" w:sz="4" w:space="0" w:color="000000"/>
              <w:right w:val="single" w:sz="4" w:space="0" w:color="000000"/>
            </w:tcBorders>
            <w:vAlign w:val="center"/>
          </w:tcPr>
          <w:p w14:paraId="1776280C" w14:textId="60558A26" w:rsidR="00144CE5" w:rsidRPr="00144CE5" w:rsidRDefault="00144CE5" w:rsidP="00EB42E0">
            <w:pPr>
              <w:shd w:val="clear" w:color="auto" w:fill="auto"/>
              <w:spacing w:line="259" w:lineRule="auto"/>
              <w:ind w:right="59"/>
              <w:rPr>
                <w:strike/>
              </w:rPr>
            </w:pPr>
            <w:r w:rsidRPr="00144CE5">
              <w:rPr>
                <w:i w:val="0"/>
              </w:rPr>
              <w:t xml:space="preserve">6 </w:t>
            </w:r>
          </w:p>
        </w:tc>
        <w:tc>
          <w:tcPr>
            <w:tcW w:w="2023" w:type="dxa"/>
            <w:tcBorders>
              <w:top w:val="single" w:sz="8" w:space="0" w:color="000000"/>
              <w:left w:val="single" w:sz="4" w:space="0" w:color="000000"/>
              <w:bottom w:val="single" w:sz="4" w:space="0" w:color="000000"/>
              <w:right w:val="single" w:sz="4" w:space="0" w:color="000000"/>
            </w:tcBorders>
            <w:vAlign w:val="center"/>
          </w:tcPr>
          <w:p w14:paraId="2AEB1254" w14:textId="77777777" w:rsidR="00144CE5" w:rsidRDefault="00144CE5" w:rsidP="00EB42E0">
            <w:pPr>
              <w:shd w:val="clear" w:color="auto" w:fill="auto"/>
              <w:spacing w:line="259" w:lineRule="auto"/>
              <w:ind w:left="36"/>
            </w:pPr>
            <w:r>
              <w:rPr>
                <w:i w:val="0"/>
              </w:rPr>
              <w:t xml:space="preserve">Trawl CV EM </w:t>
            </w:r>
          </w:p>
          <w:p w14:paraId="172ADC50" w14:textId="77777777" w:rsidR="00144CE5" w:rsidRDefault="00144CE5" w:rsidP="00EB42E0">
            <w:pPr>
              <w:shd w:val="clear" w:color="auto" w:fill="auto"/>
              <w:spacing w:line="259" w:lineRule="auto"/>
              <w:ind w:left="36"/>
            </w:pPr>
            <w:r>
              <w:rPr>
                <w:i w:val="0"/>
              </w:rPr>
              <w:t xml:space="preserve">Development </w:t>
            </w:r>
          </w:p>
        </w:tc>
        <w:tc>
          <w:tcPr>
            <w:tcW w:w="5901" w:type="dxa"/>
            <w:tcBorders>
              <w:top w:val="single" w:sz="8" w:space="0" w:color="000000"/>
              <w:left w:val="single" w:sz="4" w:space="0" w:color="000000"/>
              <w:bottom w:val="single" w:sz="4" w:space="0" w:color="000000"/>
              <w:right w:val="single" w:sz="4" w:space="0" w:color="000000"/>
            </w:tcBorders>
            <w:vAlign w:val="center"/>
          </w:tcPr>
          <w:p w14:paraId="62529A97" w14:textId="77777777" w:rsidR="00144CE5" w:rsidRDefault="00144CE5" w:rsidP="00EB42E0">
            <w:pPr>
              <w:shd w:val="clear" w:color="auto" w:fill="auto"/>
              <w:spacing w:line="259" w:lineRule="auto"/>
              <w:ind w:left="50" w:right="13"/>
            </w:pPr>
            <w:r>
              <w:rPr>
                <w:i w:val="0"/>
              </w:rPr>
              <w:t xml:space="preserve">Engage with the Trawl Electronic Monitoring Committee (EMC) to develop EM for compliance monitoring on pelagic trawl catcher vessels. Research projects include EM for compliance monitoring of full retention in pollock fisheries including tender vessels in the Western Gulf as well as EM to support alternate methods of dockside salmon accounting. </w:t>
            </w:r>
          </w:p>
        </w:tc>
        <w:tc>
          <w:tcPr>
            <w:tcW w:w="5106" w:type="dxa"/>
            <w:tcBorders>
              <w:top w:val="single" w:sz="8" w:space="0" w:color="000000"/>
              <w:left w:val="single" w:sz="4" w:space="0" w:color="000000"/>
              <w:bottom w:val="single" w:sz="4" w:space="0" w:color="000000"/>
              <w:right w:val="single" w:sz="4" w:space="0" w:color="000000"/>
            </w:tcBorders>
            <w:vAlign w:val="center"/>
          </w:tcPr>
          <w:p w14:paraId="16016F2C" w14:textId="77777777" w:rsidR="00144CE5" w:rsidRDefault="00144CE5" w:rsidP="00EB42E0">
            <w:pPr>
              <w:shd w:val="clear" w:color="auto" w:fill="auto"/>
              <w:spacing w:line="259" w:lineRule="auto"/>
              <w:ind w:left="50"/>
            </w:pPr>
            <w:r>
              <w:rPr>
                <w:i w:val="0"/>
              </w:rPr>
              <w:t xml:space="preserve">The EMC met August 21-22, 2019, to discuss current and ongoing research projects and the status of the 2020 EFP development. The Council will review the EFP application in October 2019. </w:t>
            </w:r>
          </w:p>
        </w:tc>
      </w:tr>
    </w:tbl>
    <w:p w14:paraId="29842402" w14:textId="77777777" w:rsidR="00A10574" w:rsidRDefault="00A10574">
      <w:r>
        <w:br w:type="page"/>
      </w:r>
    </w:p>
    <w:tbl>
      <w:tblPr>
        <w:tblStyle w:val="TableGrid"/>
        <w:tblW w:w="13771" w:type="dxa"/>
        <w:tblInd w:w="-116" w:type="dxa"/>
        <w:tblLook w:val="04A0" w:firstRow="1" w:lastRow="0" w:firstColumn="1" w:lastColumn="0" w:noHBand="0" w:noVBand="1"/>
      </w:tblPr>
      <w:tblGrid>
        <w:gridCol w:w="741"/>
        <w:gridCol w:w="2023"/>
        <w:gridCol w:w="5901"/>
        <w:gridCol w:w="5106"/>
      </w:tblGrid>
      <w:tr w:rsidR="00A10574" w14:paraId="3271684B" w14:textId="77777777" w:rsidTr="00A10574">
        <w:trPr>
          <w:trHeight w:val="500"/>
        </w:trPr>
        <w:tc>
          <w:tcPr>
            <w:tcW w:w="1377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A9E2E0" w14:textId="2DA83849" w:rsidR="00A10574" w:rsidRPr="00A10574" w:rsidRDefault="00A10574" w:rsidP="00237922">
            <w:pPr>
              <w:shd w:val="clear" w:color="auto" w:fill="auto"/>
              <w:spacing w:after="1" w:line="241" w:lineRule="auto"/>
              <w:ind w:right="53"/>
              <w:rPr>
                <w:b/>
                <w:bCs/>
                <w:iCs/>
              </w:rPr>
            </w:pPr>
            <w:r w:rsidRPr="00A10574">
              <w:rPr>
                <w:b/>
                <w:bCs/>
                <w:iCs/>
              </w:rPr>
              <w:lastRenderedPageBreak/>
              <w:t>Program-level Projects (Continued)</w:t>
            </w:r>
          </w:p>
        </w:tc>
      </w:tr>
      <w:tr w:rsidR="00144CE5" w14:paraId="143D5BDC" w14:textId="77777777" w:rsidTr="00237922">
        <w:trPr>
          <w:trHeight w:val="1909"/>
        </w:trPr>
        <w:tc>
          <w:tcPr>
            <w:tcW w:w="741" w:type="dxa"/>
            <w:tcBorders>
              <w:top w:val="single" w:sz="4" w:space="0" w:color="auto"/>
              <w:left w:val="single" w:sz="4" w:space="0" w:color="auto"/>
              <w:bottom w:val="single" w:sz="4" w:space="0" w:color="auto"/>
              <w:right w:val="single" w:sz="4" w:space="0" w:color="auto"/>
            </w:tcBorders>
          </w:tcPr>
          <w:p w14:paraId="37E922A7" w14:textId="4CA1BB0E" w:rsidR="00144CE5" w:rsidRDefault="00144CE5" w:rsidP="00237922">
            <w:pPr>
              <w:shd w:val="clear" w:color="auto" w:fill="auto"/>
              <w:spacing w:line="259" w:lineRule="auto"/>
              <w:ind w:right="59"/>
            </w:pPr>
            <w:r>
              <w:rPr>
                <w:i w:val="0"/>
              </w:rPr>
              <w:t>7</w:t>
            </w:r>
          </w:p>
        </w:tc>
        <w:tc>
          <w:tcPr>
            <w:tcW w:w="2023" w:type="dxa"/>
            <w:tcBorders>
              <w:top w:val="single" w:sz="4" w:space="0" w:color="auto"/>
              <w:left w:val="single" w:sz="4" w:space="0" w:color="auto"/>
              <w:bottom w:val="single" w:sz="4" w:space="0" w:color="auto"/>
              <w:right w:val="single" w:sz="4" w:space="0" w:color="auto"/>
            </w:tcBorders>
          </w:tcPr>
          <w:p w14:paraId="05E3290D" w14:textId="77777777" w:rsidR="00144CE5" w:rsidRDefault="00144CE5" w:rsidP="00237922">
            <w:pPr>
              <w:shd w:val="clear" w:color="auto" w:fill="auto"/>
              <w:spacing w:line="259" w:lineRule="auto"/>
              <w:rPr>
                <w:i w:val="0"/>
              </w:rPr>
            </w:pPr>
            <w:r>
              <w:rPr>
                <w:i w:val="0"/>
              </w:rPr>
              <w:t>Partial Coverage Cost Efficiencies Subgroup</w:t>
            </w:r>
          </w:p>
          <w:p w14:paraId="76AA9D07" w14:textId="67B67221" w:rsidR="00144CE5" w:rsidRPr="003A1FD2" w:rsidRDefault="00144CE5" w:rsidP="00237922">
            <w:pPr>
              <w:shd w:val="clear" w:color="auto" w:fill="auto"/>
              <w:spacing w:line="259" w:lineRule="auto"/>
              <w:rPr>
                <w:i w:val="0"/>
              </w:rPr>
            </w:pPr>
          </w:p>
        </w:tc>
        <w:tc>
          <w:tcPr>
            <w:tcW w:w="5901" w:type="dxa"/>
            <w:tcBorders>
              <w:top w:val="single" w:sz="4" w:space="0" w:color="auto"/>
              <w:left w:val="single" w:sz="4" w:space="0" w:color="auto"/>
              <w:bottom w:val="single" w:sz="4" w:space="0" w:color="auto"/>
              <w:right w:val="single" w:sz="4" w:space="0" w:color="auto"/>
            </w:tcBorders>
          </w:tcPr>
          <w:p w14:paraId="0A57166C" w14:textId="77777777" w:rsidR="00144CE5" w:rsidRDefault="00144CE5" w:rsidP="00237922">
            <w:pPr>
              <w:shd w:val="clear" w:color="auto" w:fill="auto"/>
              <w:spacing w:line="259" w:lineRule="auto"/>
              <w:ind w:right="31"/>
            </w:pPr>
            <w:r>
              <w:rPr>
                <w:i w:val="0"/>
              </w:rPr>
              <w:t>In April 2019, the Council tasked this group to continue to develop</w:t>
            </w:r>
            <w:r w:rsidRPr="00D1100A">
              <w:rPr>
                <w:i w:val="0"/>
              </w:rPr>
              <w:t xml:space="preserve"> ideas related to how to best integrate the different monitoring tools, such</w:t>
            </w:r>
            <w:r>
              <w:rPr>
                <w:i w:val="0"/>
              </w:rPr>
              <w:t xml:space="preserve"> </w:t>
            </w:r>
            <w:r w:rsidRPr="00D1100A">
              <w:rPr>
                <w:i w:val="0"/>
              </w:rPr>
              <w:t>as dockside monitoring, EM, and monitoring cooperatives</w:t>
            </w:r>
            <w:r>
              <w:rPr>
                <w:i w:val="0"/>
              </w:rPr>
              <w:t>.</w:t>
            </w:r>
          </w:p>
        </w:tc>
        <w:tc>
          <w:tcPr>
            <w:tcW w:w="5106" w:type="dxa"/>
            <w:tcBorders>
              <w:top w:val="single" w:sz="4" w:space="0" w:color="auto"/>
              <w:left w:val="single" w:sz="4" w:space="0" w:color="auto"/>
              <w:bottom w:val="single" w:sz="4" w:space="0" w:color="auto"/>
              <w:right w:val="single" w:sz="4" w:space="0" w:color="auto"/>
            </w:tcBorders>
          </w:tcPr>
          <w:p w14:paraId="4A03F0E5" w14:textId="77777777" w:rsidR="00144CE5" w:rsidRDefault="00144CE5" w:rsidP="00237922">
            <w:pPr>
              <w:shd w:val="clear" w:color="auto" w:fill="auto"/>
              <w:spacing w:after="1" w:line="241" w:lineRule="auto"/>
              <w:ind w:right="53"/>
            </w:pPr>
            <w:r>
              <w:rPr>
                <w:i w:val="0"/>
              </w:rPr>
              <w:t xml:space="preserve">The FMAC partial coverage subgroup report describes a long term vision for integrating monitoring tools in the partial coverage category to increase cost efficiencies. The near term priority is to task staff to create a discussion paper to scope what a dockside monitoring program would look like. Work is currently tasked to subgroup members and NMFS staff have not been assigned to work on this project. </w:t>
            </w:r>
          </w:p>
        </w:tc>
      </w:tr>
      <w:tr w:rsidR="00C52ACD" w14:paraId="3B069C24" w14:textId="77777777" w:rsidTr="00D30E23">
        <w:tblPrEx>
          <w:tblCellMar>
            <w:top w:w="38" w:type="dxa"/>
            <w:left w:w="58" w:type="dxa"/>
            <w:right w:w="23" w:type="dxa"/>
          </w:tblCellMar>
        </w:tblPrEx>
        <w:trPr>
          <w:trHeight w:val="989"/>
        </w:trPr>
        <w:tc>
          <w:tcPr>
            <w:tcW w:w="741" w:type="dxa"/>
            <w:tcBorders>
              <w:top w:val="single" w:sz="4" w:space="0" w:color="000000"/>
              <w:left w:val="single" w:sz="4" w:space="0" w:color="000000"/>
              <w:bottom w:val="single" w:sz="4" w:space="0" w:color="000000"/>
              <w:right w:val="single" w:sz="4" w:space="0" w:color="000000"/>
            </w:tcBorders>
            <w:vAlign w:val="center"/>
          </w:tcPr>
          <w:p w14:paraId="7693EF91" w14:textId="46427441" w:rsidR="00C52ACD" w:rsidRPr="00144CE5" w:rsidRDefault="00144CE5" w:rsidP="00C907E8">
            <w:pPr>
              <w:shd w:val="clear" w:color="auto" w:fill="auto"/>
              <w:spacing w:line="259" w:lineRule="auto"/>
              <w:ind w:right="38"/>
              <w:rPr>
                <w:i w:val="0"/>
              </w:rPr>
            </w:pPr>
            <w:r w:rsidRPr="00144CE5">
              <w:rPr>
                <w:i w:val="0"/>
              </w:rPr>
              <w:t>8</w:t>
            </w:r>
          </w:p>
        </w:tc>
        <w:tc>
          <w:tcPr>
            <w:tcW w:w="2023" w:type="dxa"/>
            <w:tcBorders>
              <w:top w:val="single" w:sz="4" w:space="0" w:color="000000"/>
              <w:left w:val="single" w:sz="4" w:space="0" w:color="000000"/>
              <w:bottom w:val="single" w:sz="4" w:space="0" w:color="000000"/>
              <w:right w:val="single" w:sz="4" w:space="0" w:color="000000"/>
            </w:tcBorders>
            <w:vAlign w:val="center"/>
          </w:tcPr>
          <w:p w14:paraId="245A79A6" w14:textId="6CF913B5" w:rsidR="00C52ACD" w:rsidRDefault="00C52ACD" w:rsidP="00C907E8">
            <w:pPr>
              <w:shd w:val="clear" w:color="auto" w:fill="auto"/>
              <w:spacing w:line="259" w:lineRule="auto"/>
              <w:rPr>
                <w:i w:val="0"/>
              </w:rPr>
            </w:pPr>
            <w:r>
              <w:rPr>
                <w:i w:val="0"/>
              </w:rPr>
              <w:t xml:space="preserve">Agency ODDS Subgroup  </w:t>
            </w:r>
          </w:p>
        </w:tc>
        <w:tc>
          <w:tcPr>
            <w:tcW w:w="5901" w:type="dxa"/>
            <w:tcBorders>
              <w:top w:val="single" w:sz="4" w:space="0" w:color="000000"/>
              <w:left w:val="single" w:sz="4" w:space="0" w:color="000000"/>
              <w:bottom w:val="single" w:sz="4" w:space="0" w:color="000000"/>
              <w:right w:val="single" w:sz="4" w:space="0" w:color="000000"/>
            </w:tcBorders>
            <w:vAlign w:val="center"/>
          </w:tcPr>
          <w:p w14:paraId="3DF9A567" w14:textId="2A75F38D" w:rsidR="00C52ACD" w:rsidRDefault="00C52ACD" w:rsidP="00C907E8">
            <w:pPr>
              <w:shd w:val="clear" w:color="auto" w:fill="auto"/>
              <w:spacing w:line="259" w:lineRule="auto"/>
              <w:rPr>
                <w:i w:val="0"/>
              </w:rPr>
            </w:pPr>
            <w:r>
              <w:rPr>
                <w:i w:val="0"/>
              </w:rPr>
              <w:t xml:space="preserve">In June 2018, NMFS </w:t>
            </w:r>
            <w:proofErr w:type="gramStart"/>
            <w:r>
              <w:rPr>
                <w:i w:val="0"/>
              </w:rPr>
              <w:t>recommended</w:t>
            </w:r>
            <w:proofErr w:type="gramEnd"/>
            <w:r>
              <w:rPr>
                <w:i w:val="0"/>
              </w:rPr>
              <w:t xml:space="preserve"> and the Council supported the formation of an Agency Subgroup to document how ODDS operates and identify alternatives for improvement. Changes could include improvements to the linkage between ODDS and </w:t>
            </w:r>
            <w:proofErr w:type="spellStart"/>
            <w:r>
              <w:rPr>
                <w:i w:val="0"/>
              </w:rPr>
              <w:t>eLandings</w:t>
            </w:r>
            <w:proofErr w:type="spellEnd"/>
            <w:r>
              <w:rPr>
                <w:i w:val="0"/>
              </w:rPr>
              <w:t xml:space="preserve">, changes to allow vessels that also fish trawl gear to be placed in the EM selection pool, and the trip cancellation and inherit process.  </w:t>
            </w:r>
          </w:p>
        </w:tc>
        <w:tc>
          <w:tcPr>
            <w:tcW w:w="5106" w:type="dxa"/>
            <w:tcBorders>
              <w:top w:val="single" w:sz="4" w:space="0" w:color="000000"/>
              <w:left w:val="single" w:sz="4" w:space="0" w:color="000000"/>
              <w:bottom w:val="single" w:sz="4" w:space="0" w:color="000000"/>
              <w:right w:val="single" w:sz="4" w:space="0" w:color="000000"/>
            </w:tcBorders>
            <w:vAlign w:val="center"/>
          </w:tcPr>
          <w:p w14:paraId="2D4B40ED" w14:textId="4407E52A" w:rsidR="00C52ACD" w:rsidRDefault="00C52ACD" w:rsidP="00C907E8">
            <w:pPr>
              <w:shd w:val="clear" w:color="auto" w:fill="auto"/>
              <w:spacing w:line="259" w:lineRule="auto"/>
              <w:rPr>
                <w:i w:val="0"/>
              </w:rPr>
            </w:pPr>
            <w:r w:rsidRPr="00B70495">
              <w:rPr>
                <w:i w:val="0"/>
              </w:rPr>
              <w:t>FMA staff have begun documenting existing ODDS logic so that potential changes can be discussed with the FMAC. Staff have currently been pulled off this project to make ODDS changes required to enable the trawl EM EFP.</w:t>
            </w:r>
          </w:p>
        </w:tc>
      </w:tr>
      <w:tr w:rsidR="001E5F96" w14:paraId="78A01311" w14:textId="77777777" w:rsidTr="00D30E23">
        <w:tblPrEx>
          <w:tblCellMar>
            <w:top w:w="38" w:type="dxa"/>
            <w:left w:w="58" w:type="dxa"/>
            <w:right w:w="23" w:type="dxa"/>
          </w:tblCellMar>
        </w:tblPrEx>
        <w:trPr>
          <w:trHeight w:val="989"/>
        </w:trPr>
        <w:tc>
          <w:tcPr>
            <w:tcW w:w="741" w:type="dxa"/>
            <w:tcBorders>
              <w:top w:val="single" w:sz="4" w:space="0" w:color="000000"/>
              <w:left w:val="single" w:sz="4" w:space="0" w:color="000000"/>
              <w:bottom w:val="single" w:sz="4" w:space="0" w:color="auto"/>
              <w:right w:val="single" w:sz="4" w:space="0" w:color="000000"/>
            </w:tcBorders>
            <w:vAlign w:val="center"/>
          </w:tcPr>
          <w:p w14:paraId="10994AC1" w14:textId="0FFEC04D" w:rsidR="001E5F96" w:rsidRDefault="00144CE5" w:rsidP="00C907E8">
            <w:pPr>
              <w:shd w:val="clear" w:color="auto" w:fill="auto"/>
              <w:spacing w:line="259" w:lineRule="auto"/>
              <w:ind w:right="38"/>
            </w:pPr>
            <w:r>
              <w:rPr>
                <w:i w:val="0"/>
              </w:rPr>
              <w:t>9</w:t>
            </w:r>
          </w:p>
        </w:tc>
        <w:tc>
          <w:tcPr>
            <w:tcW w:w="2023" w:type="dxa"/>
            <w:tcBorders>
              <w:top w:val="single" w:sz="4" w:space="0" w:color="000000"/>
              <w:left w:val="single" w:sz="4" w:space="0" w:color="000000"/>
              <w:bottom w:val="single" w:sz="4" w:space="0" w:color="auto"/>
              <w:right w:val="single" w:sz="4" w:space="0" w:color="000000"/>
            </w:tcBorders>
            <w:vAlign w:val="center"/>
          </w:tcPr>
          <w:p w14:paraId="63D58A47" w14:textId="77777777" w:rsidR="001E5F96" w:rsidRDefault="009D65FB" w:rsidP="00C907E8">
            <w:pPr>
              <w:shd w:val="clear" w:color="auto" w:fill="auto"/>
              <w:spacing w:line="259" w:lineRule="auto"/>
            </w:pPr>
            <w:r>
              <w:rPr>
                <w:i w:val="0"/>
              </w:rPr>
              <w:t xml:space="preserve">Explore alternative approaches to evaluate observer effects </w:t>
            </w:r>
          </w:p>
        </w:tc>
        <w:tc>
          <w:tcPr>
            <w:tcW w:w="5901" w:type="dxa"/>
            <w:tcBorders>
              <w:top w:val="single" w:sz="4" w:space="0" w:color="000000"/>
              <w:left w:val="single" w:sz="4" w:space="0" w:color="000000"/>
              <w:bottom w:val="single" w:sz="4" w:space="0" w:color="auto"/>
              <w:right w:val="single" w:sz="4" w:space="0" w:color="000000"/>
            </w:tcBorders>
            <w:vAlign w:val="center"/>
          </w:tcPr>
          <w:p w14:paraId="1226C087" w14:textId="77777777" w:rsidR="001E5F96" w:rsidRDefault="009D65FB" w:rsidP="00C907E8">
            <w:pPr>
              <w:shd w:val="clear" w:color="auto" w:fill="auto"/>
              <w:spacing w:line="259" w:lineRule="auto"/>
            </w:pPr>
            <w:r>
              <w:rPr>
                <w:i w:val="0"/>
              </w:rPr>
              <w:t xml:space="preserve">In June 2018, NMFS </w:t>
            </w:r>
            <w:proofErr w:type="gramStart"/>
            <w:r>
              <w:rPr>
                <w:i w:val="0"/>
              </w:rPr>
              <w:t>recommended</w:t>
            </w:r>
            <w:proofErr w:type="gramEnd"/>
            <w:r>
              <w:rPr>
                <w:i w:val="0"/>
              </w:rPr>
              <w:t xml:space="preserve"> and the Council supported reassessing the performance standards used to evaluate observer effects in the Annual Report and </w:t>
            </w:r>
            <w:r w:rsidR="0023403F">
              <w:rPr>
                <w:i w:val="0"/>
              </w:rPr>
              <w:t>explore alternative approaches.</w:t>
            </w:r>
            <w:r>
              <w:rPr>
                <w:i w:val="0"/>
              </w:rPr>
              <w:t xml:space="preserve">  </w:t>
            </w:r>
          </w:p>
        </w:tc>
        <w:tc>
          <w:tcPr>
            <w:tcW w:w="5106" w:type="dxa"/>
            <w:tcBorders>
              <w:top w:val="single" w:sz="4" w:space="0" w:color="000000"/>
              <w:left w:val="single" w:sz="4" w:space="0" w:color="000000"/>
              <w:bottom w:val="single" w:sz="4" w:space="0" w:color="auto"/>
              <w:right w:val="single" w:sz="4" w:space="0" w:color="000000"/>
            </w:tcBorders>
            <w:vAlign w:val="center"/>
          </w:tcPr>
          <w:p w14:paraId="73B4C2BF" w14:textId="77777777" w:rsidR="001E5F96" w:rsidRDefault="009D65FB" w:rsidP="00C907E8">
            <w:pPr>
              <w:shd w:val="clear" w:color="auto" w:fill="auto"/>
              <w:spacing w:line="259" w:lineRule="auto"/>
            </w:pPr>
            <w:r>
              <w:rPr>
                <w:i w:val="0"/>
              </w:rPr>
              <w:t xml:space="preserve">OSC members had a preliminary discussion in March 2019 on this issue but do not have a conclusion about how best to proceed.  No other work has been completed. </w:t>
            </w:r>
          </w:p>
        </w:tc>
      </w:tr>
      <w:tr w:rsidR="00215AFE" w14:paraId="14DBD79F" w14:textId="77777777" w:rsidTr="00D30E23">
        <w:trPr>
          <w:trHeight w:val="1328"/>
        </w:trPr>
        <w:tc>
          <w:tcPr>
            <w:tcW w:w="741" w:type="dxa"/>
            <w:tcBorders>
              <w:top w:val="single" w:sz="4" w:space="0" w:color="auto"/>
              <w:left w:val="single" w:sz="4" w:space="0" w:color="auto"/>
              <w:bottom w:val="single" w:sz="4" w:space="0" w:color="auto"/>
              <w:right w:val="single" w:sz="4" w:space="0" w:color="auto"/>
            </w:tcBorders>
            <w:vAlign w:val="center"/>
          </w:tcPr>
          <w:p w14:paraId="2C2DF339" w14:textId="7187D660" w:rsidR="00215AFE" w:rsidRDefault="00144CE5" w:rsidP="00215AFE">
            <w:pPr>
              <w:shd w:val="clear" w:color="auto" w:fill="auto"/>
              <w:spacing w:line="259" w:lineRule="auto"/>
              <w:ind w:right="46"/>
              <w:rPr>
                <w:i w:val="0"/>
              </w:rPr>
            </w:pPr>
            <w:r>
              <w:rPr>
                <w:i w:val="0"/>
              </w:rPr>
              <w:t>10</w:t>
            </w:r>
          </w:p>
        </w:tc>
        <w:tc>
          <w:tcPr>
            <w:tcW w:w="2023" w:type="dxa"/>
            <w:tcBorders>
              <w:top w:val="single" w:sz="4" w:space="0" w:color="auto"/>
              <w:left w:val="single" w:sz="4" w:space="0" w:color="auto"/>
              <w:bottom w:val="single" w:sz="4" w:space="0" w:color="auto"/>
              <w:right w:val="single" w:sz="4" w:space="0" w:color="auto"/>
            </w:tcBorders>
            <w:vAlign w:val="center"/>
          </w:tcPr>
          <w:p w14:paraId="79D8A686" w14:textId="77777777" w:rsidR="00215AFE" w:rsidRPr="00C52ACD" w:rsidRDefault="00215AFE" w:rsidP="00215AFE">
            <w:pPr>
              <w:shd w:val="clear" w:color="auto" w:fill="auto"/>
              <w:spacing w:line="259" w:lineRule="auto"/>
              <w:ind w:right="45"/>
              <w:rPr>
                <w:i w:val="0"/>
                <w:color w:val="auto"/>
                <w:highlight w:val="yellow"/>
              </w:rPr>
            </w:pPr>
            <w:r w:rsidRPr="003A1FD2">
              <w:rPr>
                <w:i w:val="0"/>
                <w:color w:val="auto"/>
              </w:rPr>
              <w:t>Identify best practices for estimating species weight when it is unavailable for an observed haul</w:t>
            </w:r>
          </w:p>
        </w:tc>
        <w:tc>
          <w:tcPr>
            <w:tcW w:w="5901" w:type="dxa"/>
            <w:tcBorders>
              <w:top w:val="single" w:sz="4" w:space="0" w:color="auto"/>
              <w:left w:val="single" w:sz="4" w:space="0" w:color="auto"/>
              <w:bottom w:val="single" w:sz="4" w:space="0" w:color="auto"/>
              <w:right w:val="single" w:sz="4" w:space="0" w:color="auto"/>
            </w:tcBorders>
            <w:vAlign w:val="center"/>
          </w:tcPr>
          <w:p w14:paraId="07795433" w14:textId="77777777" w:rsidR="00215AFE" w:rsidRDefault="00215AFE" w:rsidP="00215AFE">
            <w:pPr>
              <w:shd w:val="clear" w:color="auto" w:fill="auto"/>
              <w:spacing w:line="259" w:lineRule="auto"/>
              <w:rPr>
                <w:i w:val="0"/>
              </w:rPr>
            </w:pPr>
            <w:r>
              <w:rPr>
                <w:i w:val="0"/>
              </w:rPr>
              <w:t>C</w:t>
            </w:r>
            <w:r w:rsidRPr="003A1FD2">
              <w:rPr>
                <w:i w:val="0"/>
              </w:rPr>
              <w:t>atch estimates for EM and observer data rely on weight measurements from observed hauls.  This project would identify the best algorithm for assigning weights when they are unavailable.</w:t>
            </w:r>
          </w:p>
        </w:tc>
        <w:tc>
          <w:tcPr>
            <w:tcW w:w="5106" w:type="dxa"/>
            <w:tcBorders>
              <w:top w:val="single" w:sz="4" w:space="0" w:color="auto"/>
              <w:left w:val="single" w:sz="4" w:space="0" w:color="auto"/>
              <w:bottom w:val="single" w:sz="4" w:space="0" w:color="auto"/>
              <w:right w:val="single" w:sz="4" w:space="0" w:color="auto"/>
            </w:tcBorders>
            <w:vAlign w:val="center"/>
          </w:tcPr>
          <w:p w14:paraId="429276BD" w14:textId="77777777" w:rsidR="00215AFE" w:rsidRDefault="00215AFE" w:rsidP="00215AFE">
            <w:pPr>
              <w:shd w:val="clear" w:color="auto" w:fill="auto"/>
              <w:spacing w:after="5" w:line="238" w:lineRule="auto"/>
              <w:rPr>
                <w:i w:val="0"/>
              </w:rPr>
            </w:pPr>
            <w:r>
              <w:rPr>
                <w:i w:val="0"/>
              </w:rPr>
              <w:t>Staff have not yet been assigned to this project.</w:t>
            </w:r>
          </w:p>
          <w:p w14:paraId="549FE332" w14:textId="7F6301F7" w:rsidR="00215AFE" w:rsidRDefault="00215AFE" w:rsidP="00215AFE">
            <w:pPr>
              <w:shd w:val="clear" w:color="auto" w:fill="auto"/>
              <w:spacing w:after="5" w:line="238" w:lineRule="auto"/>
              <w:rPr>
                <w:i w:val="0"/>
              </w:rPr>
            </w:pPr>
          </w:p>
        </w:tc>
      </w:tr>
      <w:tr w:rsidR="001E5F96" w14:paraId="5A46C1EC" w14:textId="77777777" w:rsidTr="00D30E23">
        <w:tblPrEx>
          <w:tblCellMar>
            <w:top w:w="21" w:type="dxa"/>
            <w:left w:w="58" w:type="dxa"/>
            <w:right w:w="7" w:type="dxa"/>
          </w:tblCellMar>
        </w:tblPrEx>
        <w:trPr>
          <w:trHeight w:val="2611"/>
        </w:trPr>
        <w:tc>
          <w:tcPr>
            <w:tcW w:w="741" w:type="dxa"/>
            <w:tcBorders>
              <w:top w:val="single" w:sz="4" w:space="0" w:color="auto"/>
              <w:left w:val="single" w:sz="4" w:space="0" w:color="000000"/>
              <w:bottom w:val="single" w:sz="4" w:space="0" w:color="000000"/>
              <w:right w:val="single" w:sz="4" w:space="0" w:color="000000"/>
            </w:tcBorders>
            <w:vAlign w:val="center"/>
          </w:tcPr>
          <w:p w14:paraId="300872C8" w14:textId="1799B936" w:rsidR="001E5F96" w:rsidRDefault="00144CE5" w:rsidP="00C907E8">
            <w:pPr>
              <w:shd w:val="clear" w:color="auto" w:fill="auto"/>
              <w:spacing w:line="259" w:lineRule="auto"/>
              <w:ind w:right="46"/>
            </w:pPr>
            <w:r>
              <w:rPr>
                <w:i w:val="0"/>
              </w:rPr>
              <w:t>11</w:t>
            </w:r>
          </w:p>
        </w:tc>
        <w:tc>
          <w:tcPr>
            <w:tcW w:w="2023" w:type="dxa"/>
            <w:tcBorders>
              <w:top w:val="single" w:sz="4" w:space="0" w:color="auto"/>
              <w:left w:val="single" w:sz="4" w:space="0" w:color="000000"/>
              <w:bottom w:val="single" w:sz="4" w:space="0" w:color="000000"/>
              <w:right w:val="single" w:sz="4" w:space="0" w:color="000000"/>
            </w:tcBorders>
            <w:vAlign w:val="center"/>
          </w:tcPr>
          <w:p w14:paraId="4F282305" w14:textId="77777777" w:rsidR="001E5F96" w:rsidRDefault="009D65FB" w:rsidP="00C907E8">
            <w:pPr>
              <w:shd w:val="clear" w:color="auto" w:fill="auto"/>
              <w:spacing w:line="259" w:lineRule="auto"/>
              <w:ind w:right="45"/>
            </w:pPr>
            <w:r>
              <w:rPr>
                <w:i w:val="0"/>
              </w:rPr>
              <w:t xml:space="preserve">Effects of changes to the observer program </w:t>
            </w:r>
          </w:p>
        </w:tc>
        <w:tc>
          <w:tcPr>
            <w:tcW w:w="5901" w:type="dxa"/>
            <w:tcBorders>
              <w:top w:val="single" w:sz="4" w:space="0" w:color="auto"/>
              <w:left w:val="single" w:sz="4" w:space="0" w:color="000000"/>
              <w:bottom w:val="single" w:sz="4" w:space="0" w:color="000000"/>
              <w:right w:val="single" w:sz="4" w:space="0" w:color="000000"/>
            </w:tcBorders>
            <w:vAlign w:val="center"/>
          </w:tcPr>
          <w:p w14:paraId="51D451C7" w14:textId="77777777" w:rsidR="001E5F96" w:rsidRDefault="009D65FB" w:rsidP="00C907E8">
            <w:pPr>
              <w:shd w:val="clear" w:color="auto" w:fill="auto"/>
              <w:spacing w:line="259" w:lineRule="auto"/>
            </w:pPr>
            <w:r>
              <w:rPr>
                <w:i w:val="0"/>
              </w:rPr>
              <w:t xml:space="preserve">Evaluate the effects of changes to data collection protocols that occur because of observer restructuring, potential funding limitations and the introduction of electronic monitoring. Ensure that data collected provides a valid representation of the catch and can be compared easily to the previous data collection methods and time series remain intact. Because there have been no changes to data collection protocols and funding limitations and representativeness are addressed through the annual deployment and review process, this project will focus on potential corrections for the halibut fishery not being observed prior to 2013. </w:t>
            </w:r>
          </w:p>
        </w:tc>
        <w:tc>
          <w:tcPr>
            <w:tcW w:w="5106" w:type="dxa"/>
            <w:tcBorders>
              <w:top w:val="single" w:sz="4" w:space="0" w:color="auto"/>
              <w:left w:val="single" w:sz="4" w:space="0" w:color="000000"/>
              <w:bottom w:val="single" w:sz="4" w:space="0" w:color="000000"/>
              <w:right w:val="single" w:sz="4" w:space="0" w:color="000000"/>
            </w:tcBorders>
            <w:vAlign w:val="center"/>
          </w:tcPr>
          <w:p w14:paraId="59522CC3" w14:textId="77777777" w:rsidR="001E5F96" w:rsidRDefault="009D65FB" w:rsidP="00C907E8">
            <w:pPr>
              <w:shd w:val="clear" w:color="auto" w:fill="auto"/>
              <w:spacing w:after="5" w:line="238" w:lineRule="auto"/>
            </w:pPr>
            <w:r>
              <w:rPr>
                <w:i w:val="0"/>
              </w:rPr>
              <w:t xml:space="preserve">This project was moved to here from the research priorities list where it was originally listed as </w:t>
            </w:r>
            <w:r>
              <w:rPr>
                <w:rFonts w:ascii="Times New Roman" w:eastAsia="Times New Roman" w:hAnsi="Times New Roman" w:cs="Times New Roman"/>
                <w:i w:val="0"/>
              </w:rPr>
              <w:t>“</w:t>
            </w:r>
            <w:r>
              <w:rPr>
                <w:i w:val="0"/>
              </w:rPr>
              <w:t xml:space="preserve">Urgent". </w:t>
            </w:r>
          </w:p>
          <w:p w14:paraId="408C1D24" w14:textId="77777777" w:rsidR="001E5F96" w:rsidRDefault="009D65FB" w:rsidP="00C907E8">
            <w:pPr>
              <w:shd w:val="clear" w:color="auto" w:fill="auto"/>
              <w:spacing w:line="259" w:lineRule="auto"/>
            </w:pPr>
            <w:r>
              <w:rPr>
                <w:i w:val="0"/>
              </w:rPr>
              <w:t xml:space="preserve">Staff have not yet been assigned to this project.  </w:t>
            </w:r>
          </w:p>
        </w:tc>
      </w:tr>
      <w:tr w:rsidR="001E5F96" w14:paraId="2896AAF8" w14:textId="77777777" w:rsidTr="00D30E23">
        <w:tblPrEx>
          <w:tblCellMar>
            <w:top w:w="21" w:type="dxa"/>
            <w:left w:w="58" w:type="dxa"/>
            <w:right w:w="7" w:type="dxa"/>
          </w:tblCellMar>
        </w:tblPrEx>
        <w:trPr>
          <w:trHeight w:val="484"/>
        </w:trPr>
        <w:tc>
          <w:tcPr>
            <w:tcW w:w="741" w:type="dxa"/>
            <w:tcBorders>
              <w:top w:val="single" w:sz="4" w:space="0" w:color="000000"/>
              <w:left w:val="single" w:sz="4" w:space="0" w:color="000000"/>
              <w:bottom w:val="single" w:sz="4" w:space="0" w:color="000000"/>
              <w:right w:val="nil"/>
            </w:tcBorders>
            <w:shd w:val="clear" w:color="auto" w:fill="DBE5F1"/>
          </w:tcPr>
          <w:p w14:paraId="678A5E63" w14:textId="77777777" w:rsidR="001E5F96" w:rsidRDefault="001E5F96">
            <w:pPr>
              <w:spacing w:after="160" w:line="259" w:lineRule="auto"/>
            </w:pPr>
            <w:bookmarkStart w:id="0" w:name="_GoBack"/>
            <w:bookmarkEnd w:id="0"/>
          </w:p>
        </w:tc>
        <w:tc>
          <w:tcPr>
            <w:tcW w:w="13030" w:type="dxa"/>
            <w:gridSpan w:val="3"/>
            <w:tcBorders>
              <w:top w:val="single" w:sz="4" w:space="0" w:color="000000"/>
              <w:left w:val="nil"/>
              <w:bottom w:val="single" w:sz="4" w:space="0" w:color="000000"/>
              <w:right w:val="single" w:sz="4" w:space="0" w:color="000000"/>
            </w:tcBorders>
            <w:shd w:val="clear" w:color="auto" w:fill="DBE5F1"/>
            <w:vAlign w:val="center"/>
          </w:tcPr>
          <w:p w14:paraId="4253EC22" w14:textId="77777777" w:rsidR="001E5F96" w:rsidRDefault="009D65FB">
            <w:pPr>
              <w:shd w:val="clear" w:color="auto" w:fill="auto"/>
              <w:spacing w:line="259" w:lineRule="auto"/>
              <w:ind w:left="98"/>
            </w:pPr>
            <w:r>
              <w:rPr>
                <w:b/>
              </w:rPr>
              <w:t xml:space="preserve">Projects in NMFS Development or Review </w:t>
            </w:r>
            <w:r>
              <w:t xml:space="preserve">(Council has </w:t>
            </w:r>
            <w:proofErr w:type="gramStart"/>
            <w:r>
              <w:t>taken action</w:t>
            </w:r>
            <w:proofErr w:type="gramEnd"/>
            <w:r>
              <w:t xml:space="preserve"> or major work at current stage is NMFS’s responsibility)</w:t>
            </w:r>
            <w:r>
              <w:rPr>
                <w:i w:val="0"/>
              </w:rPr>
              <w:t xml:space="preserve"> </w:t>
            </w:r>
          </w:p>
        </w:tc>
      </w:tr>
      <w:tr w:rsidR="003034A0" w14:paraId="790F950A" w14:textId="77777777" w:rsidTr="00D30E23">
        <w:tblPrEx>
          <w:tblCellMar>
            <w:top w:w="21" w:type="dxa"/>
            <w:left w:w="58" w:type="dxa"/>
            <w:right w:w="7" w:type="dxa"/>
          </w:tblCellMar>
        </w:tblPrEx>
        <w:trPr>
          <w:trHeight w:val="2369"/>
        </w:trPr>
        <w:tc>
          <w:tcPr>
            <w:tcW w:w="741" w:type="dxa"/>
            <w:tcBorders>
              <w:top w:val="single" w:sz="4" w:space="0" w:color="auto"/>
              <w:left w:val="single" w:sz="4" w:space="0" w:color="000000"/>
              <w:bottom w:val="single" w:sz="4" w:space="0" w:color="000000"/>
              <w:right w:val="single" w:sz="4" w:space="0" w:color="000000"/>
            </w:tcBorders>
            <w:vAlign w:val="center"/>
          </w:tcPr>
          <w:p w14:paraId="7C452353" w14:textId="3AF7148C" w:rsidR="001B1B48" w:rsidRDefault="00144CE5" w:rsidP="00C907E8">
            <w:pPr>
              <w:shd w:val="clear" w:color="auto" w:fill="auto"/>
              <w:spacing w:line="259" w:lineRule="auto"/>
              <w:ind w:right="51"/>
            </w:pPr>
            <w:r>
              <w:rPr>
                <w:i w:val="0"/>
              </w:rPr>
              <w:lastRenderedPageBreak/>
              <w:t>12</w:t>
            </w:r>
          </w:p>
        </w:tc>
        <w:tc>
          <w:tcPr>
            <w:tcW w:w="2023" w:type="dxa"/>
            <w:tcBorders>
              <w:top w:val="single" w:sz="4" w:space="0" w:color="auto"/>
              <w:left w:val="single" w:sz="4" w:space="0" w:color="000000"/>
              <w:bottom w:val="single" w:sz="4" w:space="0" w:color="000000"/>
              <w:right w:val="single" w:sz="4" w:space="0" w:color="000000"/>
            </w:tcBorders>
            <w:vAlign w:val="center"/>
          </w:tcPr>
          <w:p w14:paraId="0369136E" w14:textId="77777777" w:rsidR="001B1B48" w:rsidRDefault="001B1B48" w:rsidP="00C907E8">
            <w:pPr>
              <w:shd w:val="clear" w:color="auto" w:fill="auto"/>
              <w:spacing w:line="259" w:lineRule="auto"/>
            </w:pPr>
            <w:r>
              <w:rPr>
                <w:i w:val="0"/>
              </w:rPr>
              <w:t xml:space="preserve">Observer provider insurance requirements </w:t>
            </w:r>
          </w:p>
        </w:tc>
        <w:tc>
          <w:tcPr>
            <w:tcW w:w="5901" w:type="dxa"/>
            <w:tcBorders>
              <w:top w:val="single" w:sz="4" w:space="0" w:color="auto"/>
              <w:left w:val="single" w:sz="4" w:space="0" w:color="000000"/>
              <w:bottom w:val="single" w:sz="4" w:space="0" w:color="000000"/>
              <w:right w:val="single" w:sz="4" w:space="0" w:color="000000"/>
            </w:tcBorders>
            <w:vAlign w:val="center"/>
          </w:tcPr>
          <w:p w14:paraId="711B0234" w14:textId="77777777" w:rsidR="001B1B48" w:rsidRDefault="001B1B48" w:rsidP="00C907E8">
            <w:pPr>
              <w:shd w:val="clear" w:color="auto" w:fill="auto"/>
              <w:spacing w:line="259" w:lineRule="auto"/>
            </w:pPr>
            <w:r>
              <w:rPr>
                <w:i w:val="0"/>
              </w:rPr>
              <w:t xml:space="preserve">In May 2015, NMFS determined that some observer provider insurance requirements in § 679.52(b)(11)(vi) are inapplicable and should be removed or revised. NMFS National Observer Program (NOP) staff hosted a workshop in Nov 2016. The NOP published a tech memo in November 2017 and a request for information in the Federal Register on July 16, 2018 with comments invited through September 14, 2018 regarding possible insurance packages and cost that could address observers, observer providers, and the fishing industry concerns in the event of an occupational injury. </w:t>
            </w:r>
          </w:p>
        </w:tc>
        <w:tc>
          <w:tcPr>
            <w:tcW w:w="5106" w:type="dxa"/>
            <w:tcBorders>
              <w:top w:val="single" w:sz="4" w:space="0" w:color="auto"/>
              <w:left w:val="single" w:sz="4" w:space="0" w:color="000000"/>
              <w:bottom w:val="single" w:sz="4" w:space="0" w:color="000000"/>
              <w:right w:val="single" w:sz="4" w:space="0" w:color="000000"/>
            </w:tcBorders>
            <w:vAlign w:val="center"/>
          </w:tcPr>
          <w:p w14:paraId="42F62C55" w14:textId="16FBACEA" w:rsidR="001B1B48" w:rsidRPr="003A1FD2" w:rsidRDefault="001B1B48" w:rsidP="00C907E8">
            <w:pPr>
              <w:shd w:val="clear" w:color="auto" w:fill="auto"/>
              <w:spacing w:line="259" w:lineRule="auto"/>
              <w:rPr>
                <w:i w:val="0"/>
              </w:rPr>
            </w:pPr>
            <w:r>
              <w:rPr>
                <w:i w:val="0"/>
              </w:rPr>
              <w:t>NMFS HQ staff continue to gather additional information to prepare a Regulatory Impact Review to modify observer provider insurance req</w:t>
            </w:r>
            <w:r w:rsidR="0023403F">
              <w:rPr>
                <w:i w:val="0"/>
              </w:rPr>
              <w:t>uirements. The FMAC received</w:t>
            </w:r>
            <w:r w:rsidR="00C52ACD">
              <w:rPr>
                <w:i w:val="0"/>
              </w:rPr>
              <w:t xml:space="preserve"> an</w:t>
            </w:r>
            <w:r>
              <w:rPr>
                <w:i w:val="0"/>
              </w:rPr>
              <w:t xml:space="preserve"> update on the status of this project in May 2019.</w:t>
            </w:r>
            <w:r w:rsidR="0023403F">
              <w:rPr>
                <w:i w:val="0"/>
              </w:rPr>
              <w:t xml:space="preserve"> A proposed rule is expected in 2019 with a final rule to follow in 2020. </w:t>
            </w:r>
          </w:p>
        </w:tc>
      </w:tr>
      <w:tr w:rsidR="000D4FAB" w14:paraId="6D49F85E" w14:textId="77777777" w:rsidTr="00D30E23">
        <w:tblPrEx>
          <w:tblCellMar>
            <w:top w:w="21" w:type="dxa"/>
            <w:left w:w="58" w:type="dxa"/>
            <w:right w:w="7" w:type="dxa"/>
          </w:tblCellMar>
        </w:tblPrEx>
        <w:trPr>
          <w:trHeight w:val="1440"/>
        </w:trPr>
        <w:tc>
          <w:tcPr>
            <w:tcW w:w="741" w:type="dxa"/>
            <w:tcBorders>
              <w:top w:val="single" w:sz="4" w:space="0" w:color="000000"/>
              <w:left w:val="single" w:sz="4" w:space="0" w:color="000000"/>
              <w:bottom w:val="single" w:sz="4" w:space="0" w:color="auto"/>
              <w:right w:val="single" w:sz="4" w:space="0" w:color="000000"/>
            </w:tcBorders>
            <w:vAlign w:val="center"/>
          </w:tcPr>
          <w:p w14:paraId="65D58A81" w14:textId="2B93D993" w:rsidR="000D4FAB" w:rsidRDefault="00144CE5" w:rsidP="00C907E8">
            <w:pPr>
              <w:shd w:val="clear" w:color="auto" w:fill="auto"/>
              <w:spacing w:line="259" w:lineRule="auto"/>
              <w:ind w:right="51"/>
              <w:rPr>
                <w:i w:val="0"/>
              </w:rPr>
            </w:pPr>
            <w:r>
              <w:rPr>
                <w:i w:val="0"/>
              </w:rPr>
              <w:t>13</w:t>
            </w:r>
          </w:p>
        </w:tc>
        <w:tc>
          <w:tcPr>
            <w:tcW w:w="2023" w:type="dxa"/>
            <w:tcBorders>
              <w:top w:val="single" w:sz="4" w:space="0" w:color="000000"/>
              <w:left w:val="single" w:sz="4" w:space="0" w:color="000000"/>
              <w:bottom w:val="single" w:sz="4" w:space="0" w:color="auto"/>
              <w:right w:val="single" w:sz="4" w:space="0" w:color="000000"/>
            </w:tcBorders>
            <w:vAlign w:val="center"/>
          </w:tcPr>
          <w:p w14:paraId="4C2F6A07" w14:textId="77777777" w:rsidR="000D4FAB" w:rsidRDefault="000D4FAB" w:rsidP="00C907E8">
            <w:pPr>
              <w:shd w:val="clear" w:color="auto" w:fill="auto"/>
              <w:spacing w:line="259" w:lineRule="auto"/>
              <w:rPr>
                <w:i w:val="0"/>
              </w:rPr>
            </w:pPr>
            <w:r>
              <w:rPr>
                <w:i w:val="0"/>
              </w:rPr>
              <w:t>Trawl EM EFP</w:t>
            </w:r>
          </w:p>
          <w:p w14:paraId="52036F59" w14:textId="25AA7153" w:rsidR="000D4FAB" w:rsidRPr="000D4FAB" w:rsidRDefault="000D4FAB" w:rsidP="00C907E8">
            <w:pPr>
              <w:shd w:val="clear" w:color="auto" w:fill="auto"/>
              <w:spacing w:line="259" w:lineRule="auto"/>
            </w:pPr>
          </w:p>
        </w:tc>
        <w:tc>
          <w:tcPr>
            <w:tcW w:w="5901" w:type="dxa"/>
            <w:tcBorders>
              <w:top w:val="single" w:sz="4" w:space="0" w:color="000000"/>
              <w:left w:val="single" w:sz="4" w:space="0" w:color="000000"/>
              <w:bottom w:val="single" w:sz="4" w:space="0" w:color="auto"/>
              <w:right w:val="single" w:sz="4" w:space="0" w:color="000000"/>
            </w:tcBorders>
            <w:vAlign w:val="center"/>
          </w:tcPr>
          <w:p w14:paraId="68D39D3E" w14:textId="77777777" w:rsidR="000D4FAB" w:rsidRDefault="003034A0" w:rsidP="00C907E8">
            <w:pPr>
              <w:shd w:val="clear" w:color="auto" w:fill="auto"/>
              <w:spacing w:line="259" w:lineRule="auto"/>
              <w:rPr>
                <w:i w:val="0"/>
              </w:rPr>
            </w:pPr>
            <w:r>
              <w:rPr>
                <w:i w:val="0"/>
              </w:rPr>
              <w:t xml:space="preserve">The collaboration with the Council’s Trawl EM Committee, Industry representatives are developing an EFP application to test full retention with shoreside sampling for pelagic pollock trawl fishery in the BSAI and GOA in 2020. </w:t>
            </w:r>
          </w:p>
        </w:tc>
        <w:tc>
          <w:tcPr>
            <w:tcW w:w="5106" w:type="dxa"/>
            <w:tcBorders>
              <w:top w:val="single" w:sz="4" w:space="0" w:color="000000"/>
              <w:left w:val="single" w:sz="4" w:space="0" w:color="000000"/>
              <w:bottom w:val="single" w:sz="4" w:space="0" w:color="auto"/>
              <w:right w:val="single" w:sz="4" w:space="0" w:color="000000"/>
            </w:tcBorders>
            <w:vAlign w:val="center"/>
          </w:tcPr>
          <w:p w14:paraId="194453A7" w14:textId="2B6804BE" w:rsidR="000D4FAB" w:rsidRDefault="0023403F" w:rsidP="00173892">
            <w:pPr>
              <w:shd w:val="clear" w:color="auto" w:fill="auto"/>
              <w:spacing w:line="259" w:lineRule="auto"/>
              <w:rPr>
                <w:i w:val="0"/>
              </w:rPr>
            </w:pPr>
            <w:r>
              <w:rPr>
                <w:i w:val="0"/>
              </w:rPr>
              <w:t>Observer Program and AKRO staff are engaging with the applicants as the draft EFP application is being developed through the summer and fall of 2019. Council review of the EFP is planned for October 2019.</w:t>
            </w:r>
          </w:p>
        </w:tc>
      </w:tr>
      <w:tr w:rsidR="00144CE5" w14:paraId="40DA1AF5" w14:textId="77777777" w:rsidTr="00EA1FEA">
        <w:tblPrEx>
          <w:tblCellMar>
            <w:top w:w="21" w:type="dxa"/>
            <w:left w:w="58" w:type="dxa"/>
            <w:right w:w="7" w:type="dxa"/>
          </w:tblCellMar>
        </w:tblPrEx>
        <w:trPr>
          <w:trHeight w:val="484"/>
        </w:trPr>
        <w:tc>
          <w:tcPr>
            <w:tcW w:w="741" w:type="dxa"/>
            <w:tcBorders>
              <w:top w:val="single" w:sz="4" w:space="0" w:color="000000"/>
              <w:left w:val="single" w:sz="4" w:space="0" w:color="000000"/>
              <w:bottom w:val="single" w:sz="4" w:space="0" w:color="000000"/>
              <w:right w:val="nil"/>
            </w:tcBorders>
            <w:shd w:val="clear" w:color="auto" w:fill="DBE5F1"/>
          </w:tcPr>
          <w:p w14:paraId="2759A459" w14:textId="77777777" w:rsidR="00144CE5" w:rsidRDefault="00144CE5" w:rsidP="00EA1FEA">
            <w:pPr>
              <w:spacing w:after="160" w:line="259" w:lineRule="auto"/>
            </w:pPr>
          </w:p>
        </w:tc>
        <w:tc>
          <w:tcPr>
            <w:tcW w:w="13030" w:type="dxa"/>
            <w:gridSpan w:val="3"/>
            <w:tcBorders>
              <w:top w:val="single" w:sz="4" w:space="0" w:color="000000"/>
              <w:left w:val="nil"/>
              <w:bottom w:val="single" w:sz="4" w:space="0" w:color="000000"/>
              <w:right w:val="single" w:sz="4" w:space="0" w:color="000000"/>
            </w:tcBorders>
            <w:shd w:val="clear" w:color="auto" w:fill="DBE5F1"/>
            <w:vAlign w:val="center"/>
          </w:tcPr>
          <w:p w14:paraId="3502A0A8" w14:textId="77777777" w:rsidR="00144CE5" w:rsidRDefault="00144CE5" w:rsidP="00EA1FEA">
            <w:pPr>
              <w:shd w:val="clear" w:color="auto" w:fill="auto"/>
              <w:spacing w:line="259" w:lineRule="auto"/>
              <w:ind w:left="98"/>
            </w:pPr>
            <w:r>
              <w:rPr>
                <w:b/>
              </w:rPr>
              <w:t xml:space="preserve">Projects in NMFS Development or Review </w:t>
            </w:r>
            <w:r>
              <w:t>(Continued)</w:t>
            </w:r>
            <w:r>
              <w:rPr>
                <w:i w:val="0"/>
              </w:rPr>
              <w:t xml:space="preserve"> </w:t>
            </w:r>
          </w:p>
        </w:tc>
      </w:tr>
      <w:tr w:rsidR="00215AFE" w14:paraId="3196FBD4" w14:textId="77777777" w:rsidTr="00D30E23">
        <w:trPr>
          <w:trHeight w:val="794"/>
        </w:trPr>
        <w:tc>
          <w:tcPr>
            <w:tcW w:w="741" w:type="dxa"/>
            <w:tcBorders>
              <w:top w:val="single" w:sz="4" w:space="0" w:color="auto"/>
              <w:left w:val="single" w:sz="4" w:space="0" w:color="auto"/>
              <w:bottom w:val="single" w:sz="4" w:space="0" w:color="auto"/>
              <w:right w:val="single" w:sz="4" w:space="0" w:color="auto"/>
            </w:tcBorders>
          </w:tcPr>
          <w:p w14:paraId="30785AC4" w14:textId="2AB50117" w:rsidR="00215AFE" w:rsidRDefault="00C812A1" w:rsidP="008C52C3">
            <w:pPr>
              <w:shd w:val="clear" w:color="auto" w:fill="auto"/>
              <w:spacing w:line="259" w:lineRule="auto"/>
              <w:ind w:right="51"/>
            </w:pPr>
            <w:r>
              <w:rPr>
                <w:i w:val="0"/>
              </w:rPr>
              <w:t>1</w:t>
            </w:r>
            <w:r w:rsidR="00144CE5">
              <w:rPr>
                <w:i w:val="0"/>
              </w:rPr>
              <w:t>4</w:t>
            </w:r>
          </w:p>
        </w:tc>
        <w:tc>
          <w:tcPr>
            <w:tcW w:w="2023" w:type="dxa"/>
            <w:tcBorders>
              <w:top w:val="single" w:sz="4" w:space="0" w:color="auto"/>
              <w:left w:val="single" w:sz="4" w:space="0" w:color="auto"/>
              <w:bottom w:val="single" w:sz="4" w:space="0" w:color="auto"/>
              <w:right w:val="single" w:sz="4" w:space="0" w:color="auto"/>
            </w:tcBorders>
          </w:tcPr>
          <w:p w14:paraId="143EEB6B" w14:textId="7D627FB1" w:rsidR="00215AFE" w:rsidRDefault="00215AFE" w:rsidP="00215AFE">
            <w:pPr>
              <w:shd w:val="clear" w:color="auto" w:fill="auto"/>
              <w:spacing w:line="259" w:lineRule="auto"/>
              <w:ind w:left="36"/>
            </w:pPr>
            <w:r>
              <w:rPr>
                <w:i w:val="0"/>
              </w:rPr>
              <w:t>Observer fee rulemaking</w:t>
            </w:r>
          </w:p>
        </w:tc>
        <w:tc>
          <w:tcPr>
            <w:tcW w:w="5901" w:type="dxa"/>
            <w:tcBorders>
              <w:top w:val="single" w:sz="4" w:space="0" w:color="auto"/>
              <w:left w:val="single" w:sz="4" w:space="0" w:color="auto"/>
              <w:bottom w:val="single" w:sz="4" w:space="0" w:color="auto"/>
              <w:right w:val="single" w:sz="4" w:space="0" w:color="auto"/>
            </w:tcBorders>
          </w:tcPr>
          <w:p w14:paraId="4CDA3605" w14:textId="77777777" w:rsidR="00215AFE" w:rsidRDefault="00215AFE" w:rsidP="008C52C3">
            <w:pPr>
              <w:shd w:val="clear" w:color="auto" w:fill="auto"/>
              <w:spacing w:line="259" w:lineRule="auto"/>
              <w:ind w:left="50"/>
            </w:pPr>
            <w:r>
              <w:rPr>
                <w:i w:val="0"/>
              </w:rPr>
              <w:t xml:space="preserve">In October 2017, the Council initiated an analysis to consider raising the observer fee. The analysis is a response to low sampling rates in partial coverage. </w:t>
            </w:r>
          </w:p>
        </w:tc>
        <w:tc>
          <w:tcPr>
            <w:tcW w:w="5106" w:type="dxa"/>
            <w:tcBorders>
              <w:top w:val="single" w:sz="4" w:space="0" w:color="auto"/>
              <w:left w:val="single" w:sz="4" w:space="0" w:color="auto"/>
              <w:bottom w:val="single" w:sz="4" w:space="0" w:color="auto"/>
              <w:right w:val="single" w:sz="4" w:space="0" w:color="auto"/>
            </w:tcBorders>
          </w:tcPr>
          <w:p w14:paraId="6A5748F6" w14:textId="27DA5F6A" w:rsidR="00215AFE" w:rsidRDefault="00215AFE" w:rsidP="00D30E23">
            <w:pPr>
              <w:shd w:val="clear" w:color="auto" w:fill="auto"/>
              <w:spacing w:line="259" w:lineRule="auto"/>
              <w:ind w:left="50"/>
            </w:pPr>
            <w:r>
              <w:rPr>
                <w:i w:val="0"/>
              </w:rPr>
              <w:t xml:space="preserve">The FMAC and the Council will receive the public review draft analysis in September and October 2019, respectively. </w:t>
            </w:r>
          </w:p>
        </w:tc>
      </w:tr>
      <w:tr w:rsidR="00215AFE" w14:paraId="4295BC4F" w14:textId="77777777" w:rsidTr="00D30E23">
        <w:trPr>
          <w:trHeight w:val="794"/>
        </w:trPr>
        <w:tc>
          <w:tcPr>
            <w:tcW w:w="741" w:type="dxa"/>
            <w:tcBorders>
              <w:top w:val="single" w:sz="4" w:space="0" w:color="auto"/>
              <w:left w:val="single" w:sz="4" w:space="0" w:color="auto"/>
              <w:bottom w:val="single" w:sz="4" w:space="0" w:color="auto"/>
              <w:right w:val="single" w:sz="4" w:space="0" w:color="auto"/>
            </w:tcBorders>
          </w:tcPr>
          <w:p w14:paraId="6E59FA9E" w14:textId="7CF7ABBD" w:rsidR="00215AFE" w:rsidRDefault="00144CE5" w:rsidP="008C52C3">
            <w:pPr>
              <w:shd w:val="clear" w:color="auto" w:fill="auto"/>
              <w:spacing w:line="259" w:lineRule="auto"/>
              <w:ind w:right="51"/>
              <w:rPr>
                <w:i w:val="0"/>
              </w:rPr>
            </w:pPr>
            <w:r>
              <w:rPr>
                <w:i w:val="0"/>
              </w:rPr>
              <w:t>15</w:t>
            </w:r>
          </w:p>
        </w:tc>
        <w:tc>
          <w:tcPr>
            <w:tcW w:w="2023" w:type="dxa"/>
            <w:tcBorders>
              <w:top w:val="single" w:sz="4" w:space="0" w:color="auto"/>
              <w:left w:val="single" w:sz="4" w:space="0" w:color="auto"/>
              <w:bottom w:val="single" w:sz="4" w:space="0" w:color="auto"/>
              <w:right w:val="single" w:sz="4" w:space="0" w:color="auto"/>
            </w:tcBorders>
          </w:tcPr>
          <w:p w14:paraId="0CF05F63" w14:textId="694D5CD1" w:rsidR="00215AFE" w:rsidRDefault="00215AFE" w:rsidP="00D30E23">
            <w:pPr>
              <w:shd w:val="clear" w:color="auto" w:fill="auto"/>
              <w:spacing w:line="259" w:lineRule="auto"/>
              <w:ind w:left="36"/>
              <w:rPr>
                <w:i w:val="0"/>
              </w:rPr>
            </w:pPr>
            <w:r>
              <w:rPr>
                <w:i w:val="0"/>
              </w:rPr>
              <w:t xml:space="preserve">Record </w:t>
            </w:r>
            <w:r w:rsidR="00D30E23">
              <w:rPr>
                <w:i w:val="0"/>
              </w:rPr>
              <w:t>k</w:t>
            </w:r>
            <w:r>
              <w:rPr>
                <w:i w:val="0"/>
              </w:rPr>
              <w:t xml:space="preserve">eeping </w:t>
            </w:r>
            <w:r w:rsidR="00D30E23">
              <w:rPr>
                <w:i w:val="0"/>
              </w:rPr>
              <w:t>regulatory c</w:t>
            </w:r>
            <w:r>
              <w:rPr>
                <w:i w:val="0"/>
              </w:rPr>
              <w:t>hanges</w:t>
            </w:r>
          </w:p>
        </w:tc>
        <w:tc>
          <w:tcPr>
            <w:tcW w:w="5901" w:type="dxa"/>
            <w:tcBorders>
              <w:top w:val="single" w:sz="4" w:space="0" w:color="auto"/>
              <w:left w:val="single" w:sz="4" w:space="0" w:color="auto"/>
              <w:bottom w:val="single" w:sz="4" w:space="0" w:color="auto"/>
              <w:right w:val="single" w:sz="4" w:space="0" w:color="auto"/>
            </w:tcBorders>
          </w:tcPr>
          <w:p w14:paraId="149006BE" w14:textId="7D1B0CCD" w:rsidR="00215AFE" w:rsidRDefault="00215AFE" w:rsidP="008C52C3">
            <w:pPr>
              <w:shd w:val="clear" w:color="auto" w:fill="auto"/>
              <w:spacing w:line="259" w:lineRule="auto"/>
              <w:ind w:left="50"/>
              <w:rPr>
                <w:i w:val="0"/>
              </w:rPr>
            </w:pPr>
            <w:r>
              <w:rPr>
                <w:i w:val="0"/>
              </w:rPr>
              <w:t>Observer Provider Portal and Small CP request process changes.</w:t>
            </w:r>
          </w:p>
          <w:p w14:paraId="11C71B32" w14:textId="45EF5B38" w:rsidR="00B348E1" w:rsidRDefault="00B348E1" w:rsidP="008C52C3">
            <w:pPr>
              <w:shd w:val="clear" w:color="auto" w:fill="auto"/>
              <w:spacing w:line="259" w:lineRule="auto"/>
              <w:ind w:left="50"/>
              <w:rPr>
                <w:i w:val="0"/>
              </w:rPr>
            </w:pPr>
          </w:p>
          <w:p w14:paraId="7C88004D" w14:textId="20724449" w:rsidR="00D30E23" w:rsidRDefault="00D30E23" w:rsidP="008C52C3">
            <w:pPr>
              <w:shd w:val="clear" w:color="auto" w:fill="auto"/>
              <w:spacing w:line="259" w:lineRule="auto"/>
              <w:ind w:left="50"/>
              <w:rPr>
                <w:i w:val="0"/>
              </w:rPr>
            </w:pPr>
          </w:p>
        </w:tc>
        <w:tc>
          <w:tcPr>
            <w:tcW w:w="5106" w:type="dxa"/>
            <w:tcBorders>
              <w:top w:val="single" w:sz="4" w:space="0" w:color="auto"/>
              <w:left w:val="single" w:sz="4" w:space="0" w:color="auto"/>
              <w:bottom w:val="single" w:sz="4" w:space="0" w:color="auto"/>
              <w:right w:val="single" w:sz="4" w:space="0" w:color="auto"/>
            </w:tcBorders>
          </w:tcPr>
          <w:p w14:paraId="2AA1E8D0" w14:textId="77777777" w:rsidR="00D30E23" w:rsidRDefault="00215AFE" w:rsidP="00215AFE">
            <w:pPr>
              <w:shd w:val="clear" w:color="auto" w:fill="auto"/>
              <w:spacing w:line="259" w:lineRule="auto"/>
              <w:ind w:left="50"/>
              <w:rPr>
                <w:i w:val="0"/>
              </w:rPr>
            </w:pPr>
            <w:r>
              <w:rPr>
                <w:i w:val="0"/>
              </w:rPr>
              <w:t>NMFS would develop an RIR and regulatory change in consultation with the FMAC and the Council.</w:t>
            </w:r>
          </w:p>
          <w:p w14:paraId="088071AD" w14:textId="44847070" w:rsidR="00215AFE" w:rsidRDefault="00215AFE" w:rsidP="00215AFE">
            <w:pPr>
              <w:shd w:val="clear" w:color="auto" w:fill="auto"/>
              <w:spacing w:line="259" w:lineRule="auto"/>
              <w:ind w:left="50"/>
              <w:rPr>
                <w:i w:val="0"/>
              </w:rPr>
            </w:pPr>
          </w:p>
        </w:tc>
      </w:tr>
      <w:tr w:rsidR="001E5F96" w14:paraId="7C6BA82D" w14:textId="77777777" w:rsidTr="00D30E23">
        <w:tblPrEx>
          <w:tblCellMar>
            <w:top w:w="21" w:type="dxa"/>
            <w:left w:w="58" w:type="dxa"/>
            <w:right w:w="7" w:type="dxa"/>
          </w:tblCellMar>
        </w:tblPrEx>
        <w:trPr>
          <w:trHeight w:val="446"/>
        </w:trPr>
        <w:tc>
          <w:tcPr>
            <w:tcW w:w="741" w:type="dxa"/>
            <w:tcBorders>
              <w:top w:val="single" w:sz="4" w:space="0" w:color="auto"/>
              <w:left w:val="single" w:sz="4" w:space="0" w:color="000000"/>
              <w:bottom w:val="single" w:sz="4" w:space="0" w:color="000000"/>
              <w:right w:val="nil"/>
            </w:tcBorders>
            <w:shd w:val="clear" w:color="auto" w:fill="DBE5F1"/>
          </w:tcPr>
          <w:p w14:paraId="49CA3206" w14:textId="77777777" w:rsidR="001E5F96" w:rsidRDefault="001E5F96">
            <w:pPr>
              <w:spacing w:after="160" w:line="259" w:lineRule="auto"/>
            </w:pPr>
          </w:p>
        </w:tc>
        <w:tc>
          <w:tcPr>
            <w:tcW w:w="13030" w:type="dxa"/>
            <w:gridSpan w:val="3"/>
            <w:tcBorders>
              <w:top w:val="single" w:sz="4" w:space="0" w:color="auto"/>
              <w:left w:val="nil"/>
              <w:bottom w:val="single" w:sz="4" w:space="0" w:color="000000"/>
              <w:right w:val="single" w:sz="4" w:space="0" w:color="000000"/>
            </w:tcBorders>
            <w:shd w:val="clear" w:color="auto" w:fill="DBE5F1"/>
            <w:vAlign w:val="center"/>
          </w:tcPr>
          <w:p w14:paraId="6CEDDE07" w14:textId="77777777" w:rsidR="001E5F96" w:rsidRDefault="009D65FB">
            <w:pPr>
              <w:shd w:val="clear" w:color="auto" w:fill="auto"/>
              <w:spacing w:line="259" w:lineRule="auto"/>
              <w:ind w:left="98"/>
            </w:pPr>
            <w:r>
              <w:rPr>
                <w:b/>
              </w:rPr>
              <w:t xml:space="preserve">Projects in Council Review </w:t>
            </w:r>
            <w:r>
              <w:t>(Council or NMFS have tasked staff and scheduled review at a future Council or FMAC meeting)</w:t>
            </w:r>
            <w:r>
              <w:rPr>
                <w:i w:val="0"/>
              </w:rPr>
              <w:t xml:space="preserve"> </w:t>
            </w:r>
          </w:p>
        </w:tc>
      </w:tr>
      <w:tr w:rsidR="001E5F96" w14:paraId="3C05B5F4" w14:textId="77777777" w:rsidTr="00D30E23">
        <w:tblPrEx>
          <w:tblCellMar>
            <w:top w:w="21" w:type="dxa"/>
            <w:left w:w="58" w:type="dxa"/>
            <w:right w:w="7" w:type="dxa"/>
          </w:tblCellMar>
        </w:tblPrEx>
        <w:trPr>
          <w:trHeight w:val="1448"/>
        </w:trPr>
        <w:tc>
          <w:tcPr>
            <w:tcW w:w="741" w:type="dxa"/>
            <w:tcBorders>
              <w:top w:val="single" w:sz="4" w:space="0" w:color="000000"/>
              <w:left w:val="single" w:sz="4" w:space="0" w:color="000000"/>
              <w:bottom w:val="single" w:sz="4" w:space="0" w:color="auto"/>
              <w:right w:val="single" w:sz="4" w:space="0" w:color="000000"/>
            </w:tcBorders>
            <w:vAlign w:val="center"/>
          </w:tcPr>
          <w:p w14:paraId="49005699" w14:textId="7F8B4078" w:rsidR="001E5F96" w:rsidRDefault="00144CE5" w:rsidP="00C907E8">
            <w:pPr>
              <w:shd w:val="clear" w:color="auto" w:fill="auto"/>
              <w:spacing w:line="259" w:lineRule="auto"/>
              <w:ind w:right="59"/>
            </w:pPr>
            <w:r>
              <w:rPr>
                <w:i w:val="0"/>
              </w:rPr>
              <w:t>16</w:t>
            </w:r>
          </w:p>
        </w:tc>
        <w:tc>
          <w:tcPr>
            <w:tcW w:w="2023" w:type="dxa"/>
            <w:tcBorders>
              <w:top w:val="single" w:sz="4" w:space="0" w:color="000000"/>
              <w:left w:val="single" w:sz="4" w:space="0" w:color="000000"/>
              <w:bottom w:val="single" w:sz="4" w:space="0" w:color="auto"/>
              <w:right w:val="single" w:sz="4" w:space="0" w:color="000000"/>
            </w:tcBorders>
            <w:vAlign w:val="center"/>
          </w:tcPr>
          <w:p w14:paraId="2D0716E1" w14:textId="77777777" w:rsidR="001E5F96" w:rsidRDefault="009D65FB" w:rsidP="00C907E8">
            <w:pPr>
              <w:shd w:val="clear" w:color="auto" w:fill="auto"/>
              <w:spacing w:line="259" w:lineRule="auto"/>
            </w:pPr>
            <w:r>
              <w:rPr>
                <w:i w:val="0"/>
              </w:rPr>
              <w:t xml:space="preserve">Sablefish Discards </w:t>
            </w:r>
          </w:p>
        </w:tc>
        <w:tc>
          <w:tcPr>
            <w:tcW w:w="5901" w:type="dxa"/>
            <w:tcBorders>
              <w:top w:val="single" w:sz="4" w:space="0" w:color="000000"/>
              <w:left w:val="single" w:sz="4" w:space="0" w:color="000000"/>
              <w:bottom w:val="single" w:sz="4" w:space="0" w:color="auto"/>
              <w:right w:val="single" w:sz="4" w:space="0" w:color="000000"/>
            </w:tcBorders>
            <w:vAlign w:val="center"/>
          </w:tcPr>
          <w:p w14:paraId="040593C7" w14:textId="77777777" w:rsidR="001E5F96" w:rsidRDefault="009D65FB" w:rsidP="00C907E8">
            <w:pPr>
              <w:shd w:val="clear" w:color="auto" w:fill="auto"/>
              <w:spacing w:line="259" w:lineRule="auto"/>
              <w:ind w:right="1"/>
            </w:pPr>
            <w:r>
              <w:rPr>
                <w:i w:val="0"/>
              </w:rPr>
              <w:t xml:space="preserve">Since April 2018, a regulatory change that would allow discarding of small sablefish in the Individual Fishing Quota (IFQ) sablefish fishery has been discussed as a potential tool to mitigate economic impacts to the fishery while also accounting for possible population-level impacts to the sablefish spawning stock during years of very large sablefish recruitment. </w:t>
            </w:r>
          </w:p>
        </w:tc>
        <w:tc>
          <w:tcPr>
            <w:tcW w:w="5106" w:type="dxa"/>
            <w:tcBorders>
              <w:top w:val="single" w:sz="4" w:space="0" w:color="000000"/>
              <w:left w:val="single" w:sz="4" w:space="0" w:color="000000"/>
              <w:bottom w:val="single" w:sz="4" w:space="0" w:color="auto"/>
              <w:right w:val="single" w:sz="4" w:space="0" w:color="000000"/>
            </w:tcBorders>
            <w:vAlign w:val="center"/>
          </w:tcPr>
          <w:p w14:paraId="6502EB31" w14:textId="77777777" w:rsidR="001E5F96" w:rsidRDefault="009D65FB" w:rsidP="00C907E8">
            <w:pPr>
              <w:shd w:val="clear" w:color="auto" w:fill="auto"/>
              <w:spacing w:line="259" w:lineRule="auto"/>
              <w:ind w:right="57"/>
            </w:pPr>
            <w:r>
              <w:rPr>
                <w:i w:val="0"/>
              </w:rPr>
              <w:t xml:space="preserve">The Council reviewed discussion papers in October 2018 and April 2019. The council will review a third discussion paper in December 2019. This project includes a request for an evaluation of discard estimates including information on lengths, number, and mortality rates, based on observer and EM data. </w:t>
            </w:r>
          </w:p>
        </w:tc>
      </w:tr>
      <w:tr w:rsidR="00F34CA0" w14:paraId="178143DF" w14:textId="77777777" w:rsidTr="00D30E23">
        <w:trPr>
          <w:trHeight w:val="968"/>
        </w:trPr>
        <w:tc>
          <w:tcPr>
            <w:tcW w:w="741" w:type="dxa"/>
            <w:tcBorders>
              <w:top w:val="single" w:sz="4" w:space="0" w:color="auto"/>
              <w:left w:val="single" w:sz="4" w:space="0" w:color="auto"/>
              <w:bottom w:val="single" w:sz="4" w:space="0" w:color="auto"/>
              <w:right w:val="single" w:sz="4" w:space="0" w:color="auto"/>
            </w:tcBorders>
            <w:vAlign w:val="center"/>
          </w:tcPr>
          <w:p w14:paraId="7A37E26E" w14:textId="3E753330" w:rsidR="00F34CA0" w:rsidRDefault="00144CE5" w:rsidP="00C907E8">
            <w:pPr>
              <w:shd w:val="clear" w:color="auto" w:fill="auto"/>
              <w:spacing w:line="259" w:lineRule="auto"/>
              <w:ind w:right="59"/>
              <w:rPr>
                <w:i w:val="0"/>
              </w:rPr>
            </w:pPr>
            <w:r>
              <w:rPr>
                <w:i w:val="0"/>
              </w:rPr>
              <w:t>17</w:t>
            </w:r>
          </w:p>
        </w:tc>
        <w:tc>
          <w:tcPr>
            <w:tcW w:w="2023" w:type="dxa"/>
            <w:tcBorders>
              <w:top w:val="single" w:sz="4" w:space="0" w:color="auto"/>
              <w:left w:val="single" w:sz="4" w:space="0" w:color="auto"/>
              <w:bottom w:val="single" w:sz="4" w:space="0" w:color="auto"/>
              <w:right w:val="single" w:sz="4" w:space="0" w:color="auto"/>
            </w:tcBorders>
            <w:vAlign w:val="center"/>
          </w:tcPr>
          <w:p w14:paraId="4CF68A2D" w14:textId="538129C8" w:rsidR="00F34CA0" w:rsidRDefault="00F34CA0" w:rsidP="00C907E8">
            <w:pPr>
              <w:shd w:val="clear" w:color="auto" w:fill="auto"/>
              <w:spacing w:line="259" w:lineRule="auto"/>
              <w:rPr>
                <w:i w:val="0"/>
              </w:rPr>
            </w:pPr>
            <w:r>
              <w:rPr>
                <w:i w:val="0"/>
              </w:rPr>
              <w:t xml:space="preserve">Partial coverage EM/ Shoreside Sampling </w:t>
            </w:r>
          </w:p>
        </w:tc>
        <w:tc>
          <w:tcPr>
            <w:tcW w:w="5901" w:type="dxa"/>
            <w:tcBorders>
              <w:top w:val="single" w:sz="4" w:space="0" w:color="auto"/>
              <w:left w:val="single" w:sz="4" w:space="0" w:color="auto"/>
              <w:bottom w:val="single" w:sz="4" w:space="0" w:color="auto"/>
              <w:right w:val="single" w:sz="4" w:space="0" w:color="auto"/>
            </w:tcBorders>
            <w:vAlign w:val="center"/>
          </w:tcPr>
          <w:p w14:paraId="291FAFB3" w14:textId="4C01B67E" w:rsidR="00F34CA0" w:rsidRDefault="00F34CA0" w:rsidP="00C907E8">
            <w:pPr>
              <w:shd w:val="clear" w:color="auto" w:fill="auto"/>
              <w:spacing w:line="259" w:lineRule="auto"/>
              <w:ind w:right="31"/>
              <w:rPr>
                <w:i w:val="0"/>
              </w:rPr>
            </w:pPr>
            <w:r>
              <w:rPr>
                <w:i w:val="0"/>
              </w:rPr>
              <w:t xml:space="preserve">In May 2019, the FMAC partial coverage subgroup identified information needed to scope the next steps toward an integrated cost efficient observer/EM/shoreside sampling program. </w:t>
            </w:r>
          </w:p>
        </w:tc>
        <w:tc>
          <w:tcPr>
            <w:tcW w:w="5106" w:type="dxa"/>
            <w:tcBorders>
              <w:top w:val="single" w:sz="4" w:space="0" w:color="auto"/>
              <w:left w:val="single" w:sz="4" w:space="0" w:color="auto"/>
              <w:bottom w:val="single" w:sz="4" w:space="0" w:color="auto"/>
              <w:right w:val="single" w:sz="4" w:space="0" w:color="auto"/>
            </w:tcBorders>
            <w:vAlign w:val="center"/>
          </w:tcPr>
          <w:p w14:paraId="3FA42737" w14:textId="697FFBC7" w:rsidR="00F34CA0" w:rsidRDefault="00F34CA0" w:rsidP="00C907E8">
            <w:pPr>
              <w:shd w:val="clear" w:color="auto" w:fill="auto"/>
              <w:spacing w:after="1" w:line="241" w:lineRule="auto"/>
              <w:ind w:right="53"/>
              <w:rPr>
                <w:i w:val="0"/>
              </w:rPr>
            </w:pPr>
            <w:r>
              <w:rPr>
                <w:i w:val="0"/>
              </w:rPr>
              <w:t>The FMAC requests the Council task staff to scope a shoreside sampling program in</w:t>
            </w:r>
            <w:r w:rsidR="00C907E8">
              <w:rPr>
                <w:i w:val="0"/>
              </w:rPr>
              <w:t xml:space="preserve"> the partial coverage category. </w:t>
            </w:r>
            <w:r>
              <w:rPr>
                <w:i w:val="0"/>
              </w:rPr>
              <w:t>No staff have been assigned to work on this project.</w:t>
            </w:r>
          </w:p>
        </w:tc>
      </w:tr>
      <w:tr w:rsidR="001E5F96" w14:paraId="2C4AF2AC" w14:textId="77777777" w:rsidTr="00D30E23">
        <w:tblPrEx>
          <w:tblCellMar>
            <w:top w:w="21" w:type="dxa"/>
            <w:left w:w="58" w:type="dxa"/>
            <w:right w:w="7" w:type="dxa"/>
          </w:tblCellMar>
        </w:tblPrEx>
        <w:trPr>
          <w:trHeight w:val="1450"/>
        </w:trPr>
        <w:tc>
          <w:tcPr>
            <w:tcW w:w="741" w:type="dxa"/>
            <w:tcBorders>
              <w:top w:val="single" w:sz="4" w:space="0" w:color="auto"/>
              <w:left w:val="single" w:sz="4" w:space="0" w:color="000000"/>
              <w:bottom w:val="single" w:sz="4" w:space="0" w:color="000000"/>
              <w:right w:val="single" w:sz="4" w:space="0" w:color="000000"/>
            </w:tcBorders>
            <w:vAlign w:val="center"/>
          </w:tcPr>
          <w:p w14:paraId="695022E2" w14:textId="31399340" w:rsidR="001E5F96" w:rsidRDefault="00144CE5" w:rsidP="00C907E8">
            <w:pPr>
              <w:shd w:val="clear" w:color="auto" w:fill="auto"/>
              <w:spacing w:line="259" w:lineRule="auto"/>
              <w:ind w:right="59"/>
            </w:pPr>
            <w:r>
              <w:rPr>
                <w:i w:val="0"/>
              </w:rPr>
              <w:lastRenderedPageBreak/>
              <w:t>18</w:t>
            </w:r>
          </w:p>
        </w:tc>
        <w:tc>
          <w:tcPr>
            <w:tcW w:w="2023" w:type="dxa"/>
            <w:tcBorders>
              <w:top w:val="single" w:sz="4" w:space="0" w:color="auto"/>
              <w:left w:val="single" w:sz="4" w:space="0" w:color="000000"/>
              <w:bottom w:val="single" w:sz="4" w:space="0" w:color="000000"/>
              <w:right w:val="single" w:sz="4" w:space="0" w:color="000000"/>
            </w:tcBorders>
            <w:vAlign w:val="center"/>
          </w:tcPr>
          <w:p w14:paraId="42571982" w14:textId="77777777" w:rsidR="001E5F96" w:rsidRDefault="009D65FB" w:rsidP="00C907E8">
            <w:pPr>
              <w:shd w:val="clear" w:color="auto" w:fill="auto"/>
              <w:spacing w:line="259" w:lineRule="auto"/>
              <w:ind w:right="173"/>
            </w:pPr>
            <w:r>
              <w:rPr>
                <w:i w:val="0"/>
              </w:rPr>
              <w:t xml:space="preserve">Change tender trip definition, consider deploying observers from tenders </w:t>
            </w:r>
          </w:p>
        </w:tc>
        <w:tc>
          <w:tcPr>
            <w:tcW w:w="5901" w:type="dxa"/>
            <w:tcBorders>
              <w:top w:val="single" w:sz="4" w:space="0" w:color="auto"/>
              <w:left w:val="single" w:sz="4" w:space="0" w:color="000000"/>
              <w:bottom w:val="single" w:sz="4" w:space="0" w:color="000000"/>
              <w:right w:val="single" w:sz="4" w:space="0" w:color="000000"/>
            </w:tcBorders>
            <w:vAlign w:val="center"/>
          </w:tcPr>
          <w:p w14:paraId="227A6F2A" w14:textId="77777777" w:rsidR="001E5F96" w:rsidRDefault="009D65FB" w:rsidP="00C907E8">
            <w:pPr>
              <w:shd w:val="clear" w:color="auto" w:fill="auto"/>
              <w:spacing w:line="259" w:lineRule="auto"/>
              <w:ind w:right="4"/>
            </w:pPr>
            <w:r>
              <w:rPr>
                <w:i w:val="0"/>
              </w:rPr>
              <w:t xml:space="preserve">In October 2017, the Council initiated an analysis to look at changing the definition of a tender trip to start a new trip with each delivery to a tender or to limit the number of deliveries that can be made before a vessel must log back into ODDS. The analysis should also evaluate options to deploy observers at sea from tenders.  </w:t>
            </w:r>
          </w:p>
        </w:tc>
        <w:tc>
          <w:tcPr>
            <w:tcW w:w="5106" w:type="dxa"/>
            <w:tcBorders>
              <w:top w:val="single" w:sz="4" w:space="0" w:color="auto"/>
              <w:left w:val="single" w:sz="4" w:space="0" w:color="000000"/>
              <w:bottom w:val="single" w:sz="4" w:space="0" w:color="000000"/>
              <w:right w:val="single" w:sz="4" w:space="0" w:color="000000"/>
            </w:tcBorders>
            <w:vAlign w:val="center"/>
          </w:tcPr>
          <w:p w14:paraId="4E07570E" w14:textId="77777777" w:rsidR="001E5F96" w:rsidRDefault="009D65FB" w:rsidP="00C907E8">
            <w:pPr>
              <w:shd w:val="clear" w:color="auto" w:fill="auto"/>
              <w:spacing w:line="259" w:lineRule="auto"/>
            </w:pPr>
            <w:r>
              <w:rPr>
                <w:i w:val="0"/>
              </w:rPr>
              <w:t xml:space="preserve">Initial scoping of a similar action was undertaken in </w:t>
            </w:r>
          </w:p>
          <w:p w14:paraId="3DB6E3B9" w14:textId="0F828E9C" w:rsidR="001E5F96" w:rsidRDefault="009D65FB" w:rsidP="00C907E8">
            <w:pPr>
              <w:shd w:val="clear" w:color="auto" w:fill="auto"/>
              <w:spacing w:line="242" w:lineRule="auto"/>
              <w:ind w:right="28"/>
            </w:pPr>
            <w:r>
              <w:rPr>
                <w:i w:val="0"/>
              </w:rPr>
              <w:t xml:space="preserve">2015-2016, before the analysis was tabled. In December 2018, the Council received a summary of progress on this project and recommended </w:t>
            </w:r>
            <w:r w:rsidR="00C907E8">
              <w:rPr>
                <w:i w:val="0"/>
              </w:rPr>
              <w:t xml:space="preserve">no further action at that time. </w:t>
            </w:r>
            <w:r>
              <w:rPr>
                <w:i w:val="0"/>
              </w:rPr>
              <w:t xml:space="preserve">No staff have been assigned to work on this project. </w:t>
            </w:r>
          </w:p>
        </w:tc>
      </w:tr>
    </w:tbl>
    <w:p w14:paraId="6900819C" w14:textId="77777777" w:rsidR="001E5F96" w:rsidRDefault="009D65FB">
      <w:pPr>
        <w:shd w:val="clear" w:color="auto" w:fill="auto"/>
        <w:spacing w:line="259" w:lineRule="auto"/>
        <w:jc w:val="both"/>
      </w:pPr>
      <w:r>
        <w:rPr>
          <w:rFonts w:ascii="Times New Roman" w:eastAsia="Times New Roman" w:hAnsi="Times New Roman" w:cs="Times New Roman"/>
          <w:i w:val="0"/>
          <w:sz w:val="22"/>
        </w:rPr>
        <w:t xml:space="preserve"> </w:t>
      </w:r>
    </w:p>
    <w:p w14:paraId="23BCD8B8" w14:textId="77777777" w:rsidR="001E5F96" w:rsidRDefault="009D65FB">
      <w:pPr>
        <w:shd w:val="clear" w:color="auto" w:fill="auto"/>
        <w:spacing w:line="259" w:lineRule="auto"/>
      </w:pPr>
      <w:r>
        <w:rPr>
          <w:rFonts w:ascii="Times New Roman" w:eastAsia="Times New Roman" w:hAnsi="Times New Roman" w:cs="Times New Roman"/>
          <w:i w:val="0"/>
          <w:sz w:val="22"/>
        </w:rPr>
        <w:t xml:space="preserve"> </w:t>
      </w:r>
    </w:p>
    <w:sectPr w:rsidR="001E5F96" w:rsidSect="00144CE5">
      <w:headerReference w:type="even" r:id="rId8"/>
      <w:headerReference w:type="default" r:id="rId9"/>
      <w:footerReference w:type="even" r:id="rId10"/>
      <w:footerReference w:type="default" r:id="rId11"/>
      <w:headerReference w:type="first" r:id="rId12"/>
      <w:footerReference w:type="first" r:id="rId13"/>
      <w:pgSz w:w="15840" w:h="12240" w:orient="landscape"/>
      <w:pgMar w:top="1155" w:right="1347" w:bottom="915" w:left="1152" w:header="578" w:footer="5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B43E0" w14:textId="77777777" w:rsidR="00BE4369" w:rsidRDefault="00BE4369">
      <w:r>
        <w:separator/>
      </w:r>
    </w:p>
  </w:endnote>
  <w:endnote w:type="continuationSeparator" w:id="0">
    <w:p w14:paraId="0F243ADB" w14:textId="77777777" w:rsidR="00BE4369" w:rsidRDefault="00BE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DE26" w14:textId="77777777" w:rsidR="001E5F96" w:rsidRDefault="009D65FB">
    <w:pPr>
      <w:shd w:val="clear" w:color="auto" w:fill="auto"/>
      <w:spacing w:line="259" w:lineRule="auto"/>
      <w:ind w:left="195"/>
      <w:jc w:val="center"/>
    </w:pPr>
    <w:r>
      <w:rPr>
        <w:i w:val="0"/>
        <w:sz w:val="22"/>
      </w:rPr>
      <w:fldChar w:fldCharType="begin"/>
    </w:r>
    <w:r>
      <w:rPr>
        <w:i w:val="0"/>
        <w:sz w:val="22"/>
      </w:rPr>
      <w:instrText xml:space="preserve"> PAGE   \* MERGEFORMAT </w:instrText>
    </w:r>
    <w:r>
      <w:rPr>
        <w:i w:val="0"/>
        <w:sz w:val="22"/>
      </w:rPr>
      <w:fldChar w:fldCharType="separate"/>
    </w:r>
    <w:r>
      <w:rPr>
        <w:i w:val="0"/>
        <w:sz w:val="22"/>
      </w:rPr>
      <w:t>1</w:t>
    </w:r>
    <w:r>
      <w:rPr>
        <w:i w:val="0"/>
        <w:sz w:val="22"/>
      </w:rPr>
      <w:fldChar w:fldCharType="end"/>
    </w:r>
    <w:r>
      <w:rPr>
        <w:i w:val="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9192" w14:textId="0EE1402B" w:rsidR="001E5F96" w:rsidRDefault="009D65FB">
    <w:pPr>
      <w:shd w:val="clear" w:color="auto" w:fill="auto"/>
      <w:spacing w:line="259" w:lineRule="auto"/>
      <w:ind w:left="195"/>
      <w:jc w:val="center"/>
    </w:pPr>
    <w:r>
      <w:rPr>
        <w:i w:val="0"/>
        <w:sz w:val="22"/>
      </w:rPr>
      <w:fldChar w:fldCharType="begin"/>
    </w:r>
    <w:r>
      <w:rPr>
        <w:i w:val="0"/>
        <w:sz w:val="22"/>
      </w:rPr>
      <w:instrText xml:space="preserve"> PAGE   \* MERGEFORMAT </w:instrText>
    </w:r>
    <w:r>
      <w:rPr>
        <w:i w:val="0"/>
        <w:sz w:val="22"/>
      </w:rPr>
      <w:fldChar w:fldCharType="separate"/>
    </w:r>
    <w:r w:rsidR="00A90893">
      <w:rPr>
        <w:i w:val="0"/>
        <w:noProof/>
        <w:sz w:val="22"/>
      </w:rPr>
      <w:t>1</w:t>
    </w:r>
    <w:r>
      <w:rPr>
        <w:i w:val="0"/>
        <w:sz w:val="22"/>
      </w:rPr>
      <w:fldChar w:fldCharType="end"/>
    </w:r>
    <w:r>
      <w:rPr>
        <w:i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AB8A" w14:textId="77777777" w:rsidR="00144CE5" w:rsidRDefault="00144CE5" w:rsidP="00144CE5">
    <w:r>
      <w:t xml:space="preserve">Accessibility of this Document:  Every effort has been made to make this document accessible to individuals of all abilities and compliant with Section 508 of the Rehabilitation Act. The complexity of this document may make access difficult for some. If you encounter information that you cannot access or use, please email us at Alaska.webmaster@noaa.gov or call us at 907-586-7228 so that we may assist you. </w:t>
    </w:r>
  </w:p>
  <w:p w14:paraId="14D1A5D2" w14:textId="77777777" w:rsidR="001E5F96" w:rsidRDefault="009D65FB">
    <w:pPr>
      <w:shd w:val="clear" w:color="auto" w:fill="auto"/>
      <w:spacing w:line="259" w:lineRule="auto"/>
      <w:ind w:left="195"/>
      <w:jc w:val="center"/>
    </w:pPr>
    <w:r>
      <w:rPr>
        <w:i w:val="0"/>
        <w:sz w:val="22"/>
      </w:rPr>
      <w:fldChar w:fldCharType="begin"/>
    </w:r>
    <w:r>
      <w:rPr>
        <w:i w:val="0"/>
        <w:sz w:val="22"/>
      </w:rPr>
      <w:instrText xml:space="preserve"> PAGE   \* MERGEFORMAT </w:instrText>
    </w:r>
    <w:r>
      <w:rPr>
        <w:i w:val="0"/>
        <w:sz w:val="22"/>
      </w:rPr>
      <w:fldChar w:fldCharType="separate"/>
    </w:r>
    <w:r>
      <w:rPr>
        <w:i w:val="0"/>
        <w:sz w:val="22"/>
      </w:rPr>
      <w:t>1</w:t>
    </w:r>
    <w:r>
      <w:rPr>
        <w:i w:val="0"/>
        <w:sz w:val="22"/>
      </w:rPr>
      <w:fldChar w:fldCharType="end"/>
    </w:r>
    <w:r>
      <w:rPr>
        <w:i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7D283" w14:textId="77777777" w:rsidR="00BE4369" w:rsidRDefault="00BE4369">
      <w:r>
        <w:separator/>
      </w:r>
    </w:p>
  </w:footnote>
  <w:footnote w:type="continuationSeparator" w:id="0">
    <w:p w14:paraId="7374B639" w14:textId="77777777" w:rsidR="00BE4369" w:rsidRDefault="00BE4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CABE" w14:textId="77777777" w:rsidR="001E5F96" w:rsidRDefault="009D65FB">
    <w:pPr>
      <w:shd w:val="clear" w:color="auto" w:fill="auto"/>
      <w:spacing w:line="259" w:lineRule="auto"/>
      <w:ind w:right="-195"/>
      <w:jc w:val="right"/>
    </w:pPr>
    <w:r>
      <w:rPr>
        <w:b/>
        <w:i w:val="0"/>
        <w:color w:val="808080"/>
      </w:rPr>
      <w:t xml:space="preserve">May 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DF289" w14:textId="06B63C58" w:rsidR="001E5F96" w:rsidRDefault="009D65FB">
    <w:pPr>
      <w:shd w:val="clear" w:color="auto" w:fill="auto"/>
      <w:spacing w:line="259" w:lineRule="auto"/>
      <w:ind w:right="-195"/>
      <w:jc w:val="right"/>
    </w:pPr>
    <w:r>
      <w:rPr>
        <w:b/>
        <w:i w:val="0"/>
        <w:color w:val="80808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A4B1" w14:textId="4B44C09F" w:rsidR="001E5F96" w:rsidRDefault="00F864B9">
    <w:pPr>
      <w:shd w:val="clear" w:color="auto" w:fill="auto"/>
      <w:spacing w:line="259" w:lineRule="auto"/>
      <w:ind w:right="-195"/>
      <w:jc w:val="right"/>
    </w:pPr>
    <w:r>
      <w:rPr>
        <w:b/>
        <w:i w:val="0"/>
        <w:color w:val="808080"/>
      </w:rPr>
      <w:t xml:space="preserve">December </w:t>
    </w:r>
    <w:r w:rsidR="009D65FB">
      <w:rPr>
        <w:b/>
        <w:i w:val="0"/>
        <w:color w:val="80808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4E2C"/>
    <w:multiLevelType w:val="hybridMultilevel"/>
    <w:tmpl w:val="78164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9F4F0C"/>
    <w:multiLevelType w:val="hybridMultilevel"/>
    <w:tmpl w:val="DDDA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96"/>
    <w:rsid w:val="00015678"/>
    <w:rsid w:val="00031B0D"/>
    <w:rsid w:val="000C0116"/>
    <w:rsid w:val="000D4FAB"/>
    <w:rsid w:val="00144CE5"/>
    <w:rsid w:val="00165063"/>
    <w:rsid w:val="00173892"/>
    <w:rsid w:val="001B14AE"/>
    <w:rsid w:val="001B1B48"/>
    <w:rsid w:val="001C3B7A"/>
    <w:rsid w:val="001C6D79"/>
    <w:rsid w:val="001E5F96"/>
    <w:rsid w:val="00215AFE"/>
    <w:rsid w:val="0022179C"/>
    <w:rsid w:val="00222FA3"/>
    <w:rsid w:val="002235AE"/>
    <w:rsid w:val="00227689"/>
    <w:rsid w:val="0023403F"/>
    <w:rsid w:val="00241A97"/>
    <w:rsid w:val="002509D4"/>
    <w:rsid w:val="003034A0"/>
    <w:rsid w:val="0031153F"/>
    <w:rsid w:val="00357FD6"/>
    <w:rsid w:val="0038113F"/>
    <w:rsid w:val="00397C19"/>
    <w:rsid w:val="003A1FD2"/>
    <w:rsid w:val="00407799"/>
    <w:rsid w:val="0056103D"/>
    <w:rsid w:val="006379B3"/>
    <w:rsid w:val="006C4219"/>
    <w:rsid w:val="00705957"/>
    <w:rsid w:val="0078757F"/>
    <w:rsid w:val="007A6B4A"/>
    <w:rsid w:val="008A07D4"/>
    <w:rsid w:val="00952268"/>
    <w:rsid w:val="009D65FB"/>
    <w:rsid w:val="00A10574"/>
    <w:rsid w:val="00A90893"/>
    <w:rsid w:val="00B348E1"/>
    <w:rsid w:val="00B527FB"/>
    <w:rsid w:val="00B70495"/>
    <w:rsid w:val="00BE4369"/>
    <w:rsid w:val="00C2481E"/>
    <w:rsid w:val="00C47417"/>
    <w:rsid w:val="00C52ACD"/>
    <w:rsid w:val="00C812A1"/>
    <w:rsid w:val="00C84B70"/>
    <w:rsid w:val="00C86056"/>
    <w:rsid w:val="00C907E8"/>
    <w:rsid w:val="00CA2A40"/>
    <w:rsid w:val="00CE428C"/>
    <w:rsid w:val="00D02E48"/>
    <w:rsid w:val="00D1100A"/>
    <w:rsid w:val="00D22566"/>
    <w:rsid w:val="00D30E23"/>
    <w:rsid w:val="00D94BE1"/>
    <w:rsid w:val="00DC5F47"/>
    <w:rsid w:val="00E64324"/>
    <w:rsid w:val="00EF2915"/>
    <w:rsid w:val="00F34CA0"/>
    <w:rsid w:val="00F54C4A"/>
    <w:rsid w:val="00F864B9"/>
    <w:rsid w:val="00FF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40E14"/>
  <w15:docId w15:val="{3723C3B5-BDBB-4858-A8D9-24925497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D9D9D9"/>
      <w:spacing w:after="0" w:line="240" w:lineRule="auto"/>
    </w:pPr>
    <w:rPr>
      <w:rFonts w:ascii="Arial" w:eastAsia="Arial" w:hAnsi="Arial" w:cs="Arial"/>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B1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B48"/>
    <w:rPr>
      <w:rFonts w:ascii="Segoe UI" w:eastAsia="Arial" w:hAnsi="Segoe UI" w:cs="Segoe UI"/>
      <w:i/>
      <w:color w:val="000000"/>
      <w:sz w:val="18"/>
      <w:szCs w:val="18"/>
      <w:shd w:val="clear" w:color="auto" w:fill="D9D9D9"/>
    </w:rPr>
  </w:style>
  <w:style w:type="character" w:styleId="CommentReference">
    <w:name w:val="annotation reference"/>
    <w:basedOn w:val="DefaultParagraphFont"/>
    <w:uiPriority w:val="99"/>
    <w:semiHidden/>
    <w:unhideWhenUsed/>
    <w:rsid w:val="000D4FAB"/>
    <w:rPr>
      <w:sz w:val="16"/>
      <w:szCs w:val="16"/>
    </w:rPr>
  </w:style>
  <w:style w:type="paragraph" w:styleId="CommentText">
    <w:name w:val="annotation text"/>
    <w:basedOn w:val="Normal"/>
    <w:link w:val="CommentTextChar"/>
    <w:uiPriority w:val="99"/>
    <w:semiHidden/>
    <w:unhideWhenUsed/>
    <w:rsid w:val="000D4FAB"/>
    <w:rPr>
      <w:szCs w:val="20"/>
    </w:rPr>
  </w:style>
  <w:style w:type="character" w:customStyle="1" w:styleId="CommentTextChar">
    <w:name w:val="Comment Text Char"/>
    <w:basedOn w:val="DefaultParagraphFont"/>
    <w:link w:val="CommentText"/>
    <w:uiPriority w:val="99"/>
    <w:semiHidden/>
    <w:rsid w:val="000D4FAB"/>
    <w:rPr>
      <w:rFonts w:ascii="Arial" w:eastAsia="Arial" w:hAnsi="Arial" w:cs="Arial"/>
      <w:i/>
      <w:color w:val="000000"/>
      <w:sz w:val="20"/>
      <w:szCs w:val="20"/>
      <w:shd w:val="clear" w:color="auto" w:fill="D9D9D9"/>
    </w:rPr>
  </w:style>
  <w:style w:type="paragraph" w:styleId="CommentSubject">
    <w:name w:val="annotation subject"/>
    <w:basedOn w:val="CommentText"/>
    <w:next w:val="CommentText"/>
    <w:link w:val="CommentSubjectChar"/>
    <w:uiPriority w:val="99"/>
    <w:semiHidden/>
    <w:unhideWhenUsed/>
    <w:rsid w:val="000D4FAB"/>
    <w:rPr>
      <w:b/>
      <w:bCs/>
    </w:rPr>
  </w:style>
  <w:style w:type="character" w:customStyle="1" w:styleId="CommentSubjectChar">
    <w:name w:val="Comment Subject Char"/>
    <w:basedOn w:val="CommentTextChar"/>
    <w:link w:val="CommentSubject"/>
    <w:uiPriority w:val="99"/>
    <w:semiHidden/>
    <w:rsid w:val="000D4FAB"/>
    <w:rPr>
      <w:rFonts w:ascii="Arial" w:eastAsia="Arial" w:hAnsi="Arial" w:cs="Arial"/>
      <w:b/>
      <w:bCs/>
      <w:i/>
      <w:color w:val="000000"/>
      <w:sz w:val="20"/>
      <w:szCs w:val="20"/>
      <w:shd w:val="clear" w:color="auto" w:fill="D9D9D9"/>
    </w:rPr>
  </w:style>
  <w:style w:type="character" w:styleId="Hyperlink">
    <w:name w:val="Hyperlink"/>
    <w:basedOn w:val="DefaultParagraphFont"/>
    <w:uiPriority w:val="99"/>
    <w:semiHidden/>
    <w:unhideWhenUsed/>
    <w:rsid w:val="002235AE"/>
    <w:rPr>
      <w:color w:val="0000FF"/>
      <w:u w:val="single"/>
    </w:rPr>
  </w:style>
  <w:style w:type="paragraph" w:styleId="ListParagraph">
    <w:name w:val="List Paragraph"/>
    <w:basedOn w:val="Normal"/>
    <w:uiPriority w:val="34"/>
    <w:qFormat/>
    <w:rsid w:val="001C3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DF3C3-2D71-434D-9873-DC8A6ACE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Evans</dc:creator>
  <cp:keywords/>
  <cp:lastModifiedBy>Kate Haapala</cp:lastModifiedBy>
  <cp:revision>4</cp:revision>
  <cp:lastPrinted>2019-12-12T18:48:00Z</cp:lastPrinted>
  <dcterms:created xsi:type="dcterms:W3CDTF">2019-12-12T18:48:00Z</dcterms:created>
  <dcterms:modified xsi:type="dcterms:W3CDTF">2019-12-12T23:53:00Z</dcterms:modified>
</cp:coreProperties>
</file>