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6922E" w14:textId="77777777" w:rsidR="00AC48FE" w:rsidRDefault="00D5135D" w:rsidP="00D5135D">
      <w:r w:rsidRPr="00D5135D">
        <w:rPr>
          <w:b/>
          <w:bCs/>
        </w:rPr>
        <w:t xml:space="preserve">MOTION </w:t>
      </w:r>
    </w:p>
    <w:p w14:paraId="6EF7D520" w14:textId="6E730817" w:rsidR="00D5135D" w:rsidRPr="00D5135D" w:rsidRDefault="00AC48FE" w:rsidP="00D5135D">
      <w:r w:rsidRPr="00AC48FE">
        <w:rPr>
          <w:b/>
          <w:bCs/>
        </w:rPr>
        <w:t>CHMC</w:t>
      </w:r>
      <w:r w:rsidR="00D5135D" w:rsidRPr="00D5135D">
        <w:rPr>
          <w:b/>
          <w:bCs/>
        </w:rPr>
        <w:t xml:space="preserve"> — Recreational Halibut Management </w:t>
      </w:r>
    </w:p>
    <w:p w14:paraId="34B81D18" w14:textId="77777777" w:rsidR="00D5135D" w:rsidRPr="00D5135D" w:rsidRDefault="00D5135D" w:rsidP="00D5135D">
      <w:r w:rsidRPr="00D5135D">
        <w:rPr>
          <w:b/>
          <w:bCs/>
        </w:rPr>
        <w:t xml:space="preserve">October 2026 </w:t>
      </w:r>
    </w:p>
    <w:p w14:paraId="7DDF3617" w14:textId="64D86D22" w:rsidR="00AC48FE" w:rsidRDefault="00AC48FE" w:rsidP="00D5135D">
      <w:r>
        <w:t>The Charter Halibut Management Committee re</w:t>
      </w:r>
      <w:r w:rsidR="00DC6FEF">
        <w:t>quests</w:t>
      </w:r>
      <w:r>
        <w:t xml:space="preserve"> the Council task NPFMC staff with an expanded discussion paper of charter halibut mana</w:t>
      </w:r>
      <w:r w:rsidR="00A62DE2">
        <w:t xml:space="preserve">gement to compare </w:t>
      </w:r>
      <w:r>
        <w:t xml:space="preserve">the following </w:t>
      </w:r>
      <w:r w:rsidR="00A62DE2">
        <w:t>dynamics of recreational and commercial fisheries</w:t>
      </w:r>
      <w:r>
        <w:t>:</w:t>
      </w:r>
    </w:p>
    <w:p w14:paraId="18D28E08" w14:textId="132F6154" w:rsidR="00A62DE2" w:rsidRDefault="00B224A9" w:rsidP="00A62DE2">
      <w:pPr>
        <w:numPr>
          <w:ilvl w:val="0"/>
          <w:numId w:val="3"/>
        </w:numPr>
      </w:pPr>
      <w:r>
        <w:t xml:space="preserve">examination of </w:t>
      </w:r>
      <w:r w:rsidRPr="00A62DE2">
        <w:t>the relationship between allocation and the quality of the fishing opportunity</w:t>
      </w:r>
      <w:r>
        <w:t xml:space="preserve">, including </w:t>
      </w:r>
      <w:r w:rsidR="00A62DE2" w:rsidRPr="00A62DE2">
        <w:t>the effects of harvest restrictions</w:t>
      </w:r>
      <w:r w:rsidR="00D016C4">
        <w:t xml:space="preserve"> (</w:t>
      </w:r>
      <w:r w:rsidR="00A62DE2" w:rsidRPr="00A62DE2">
        <w:t>size limits, daily bag limits, annual limits, closed days, and season length;</w:t>
      </w:r>
    </w:p>
    <w:p w14:paraId="49011746" w14:textId="3E0203AA" w:rsidR="00D30C65" w:rsidRPr="00A62DE2" w:rsidRDefault="00D30C65" w:rsidP="00D30C65">
      <w:pPr>
        <w:numPr>
          <w:ilvl w:val="0"/>
          <w:numId w:val="3"/>
        </w:numPr>
      </w:pPr>
      <w:r w:rsidRPr="00A62DE2">
        <w:t>how each fishery responds to increases and decreases in allocation and abundance</w:t>
      </w:r>
      <w:r>
        <w:t>;</w:t>
      </w:r>
    </w:p>
    <w:p w14:paraId="65264C14" w14:textId="0583D11D" w:rsidR="00B224A9" w:rsidRDefault="00A62DE2" w:rsidP="00D016C4">
      <w:pPr>
        <w:numPr>
          <w:ilvl w:val="0"/>
          <w:numId w:val="3"/>
        </w:numPr>
      </w:pPr>
      <w:r w:rsidRPr="00A62DE2">
        <w:t>differences in how participants respond to increasingly restrictive regulations, including changes in effort, participation, trip demand, and substitution to other fisheries or activities;</w:t>
      </w:r>
    </w:p>
    <w:p w14:paraId="521FE066" w14:textId="4F894A7A" w:rsidR="00D016C4" w:rsidRDefault="00D016C4" w:rsidP="00D016C4">
      <w:pPr>
        <w:numPr>
          <w:ilvl w:val="0"/>
          <w:numId w:val="3"/>
        </w:numPr>
      </w:pPr>
      <w:r w:rsidRPr="00A62DE2">
        <w:t xml:space="preserve">differences in the ability of each sector to adapt to reduced allocation, including consolidation, efficiency, changes in effort, </w:t>
      </w:r>
      <w:r w:rsidR="00D30C65">
        <w:t xml:space="preserve">changes in revenue, </w:t>
      </w:r>
      <w:r w:rsidRPr="00A62DE2">
        <w:t>and changes in customer demand;</w:t>
      </w:r>
    </w:p>
    <w:p w14:paraId="68182E8B" w14:textId="06A38621" w:rsidR="00D30C65" w:rsidRDefault="00D30C65" w:rsidP="00D30C65">
      <w:pPr>
        <w:numPr>
          <w:ilvl w:val="1"/>
          <w:numId w:val="3"/>
        </w:numPr>
      </w:pPr>
      <w:r w:rsidRPr="00A62DE2">
        <w:t>the role of access and opportunity in generating recreational economic activity;</w:t>
      </w:r>
    </w:p>
    <w:p w14:paraId="4C2FD360" w14:textId="51DF41EC" w:rsidR="00D30C65" w:rsidRPr="00A62DE2" w:rsidRDefault="00D30C65" w:rsidP="00D30C65">
      <w:pPr>
        <w:numPr>
          <w:ilvl w:val="1"/>
          <w:numId w:val="3"/>
        </w:numPr>
      </w:pPr>
      <w:r w:rsidRPr="00A62DE2">
        <w:t xml:space="preserve">the potential for regulatory restrictions to reduce economic activity </w:t>
      </w:r>
      <w:r>
        <w:t xml:space="preserve">and other tangible and intangible benefits </w:t>
      </w:r>
      <w:r w:rsidRPr="00A62DE2">
        <w:t>even when the recreational fishery remains open;</w:t>
      </w:r>
    </w:p>
    <w:p w14:paraId="61C9C964" w14:textId="77777777" w:rsidR="00A62DE2" w:rsidRPr="00A62DE2" w:rsidRDefault="00A62DE2" w:rsidP="00A62DE2">
      <w:pPr>
        <w:numPr>
          <w:ilvl w:val="0"/>
          <w:numId w:val="3"/>
        </w:numPr>
      </w:pPr>
      <w:r w:rsidRPr="00A62DE2">
        <w:t>the importance of regulatory predictability and stability to businesses and participants;</w:t>
      </w:r>
    </w:p>
    <w:p w14:paraId="3F17FB08" w14:textId="675D9809" w:rsidR="00A62DE2" w:rsidRDefault="00A62DE2" w:rsidP="00A62DE2">
      <w:pPr>
        <w:numPr>
          <w:ilvl w:val="0"/>
          <w:numId w:val="3"/>
        </w:numPr>
      </w:pPr>
      <w:r w:rsidRPr="00A62DE2">
        <w:t>whether management systems based primarily on pounds of mortality adequately account for the different ways commercial and recreational fisheries produce benefits from the halibut resource</w:t>
      </w:r>
      <w:r w:rsidR="0042255D">
        <w:t>;</w:t>
      </w:r>
    </w:p>
    <w:p w14:paraId="169AF001" w14:textId="7FAA521F" w:rsidR="0042255D" w:rsidRPr="00D5135D" w:rsidRDefault="0042255D" w:rsidP="0042255D">
      <w:pPr>
        <w:pStyle w:val="ListParagraph"/>
        <w:numPr>
          <w:ilvl w:val="0"/>
          <w:numId w:val="3"/>
        </w:numPr>
      </w:pPr>
      <w:r w:rsidRPr="00D5135D">
        <w:t>Identify the objectives and assumptions supporting the differential treatment of halibut anglers and the establishment of different management approaches and harvest regulations in NPFMC-managed waters. Where possible, evaluate whether those objectives and assumptions remain applicable under current conditions</w:t>
      </w:r>
      <w:r>
        <w:t xml:space="preserve"> and underscore MSA principles:</w:t>
      </w:r>
    </w:p>
    <w:p w14:paraId="0359B017" w14:textId="372EF9F6" w:rsidR="0042255D" w:rsidRPr="00A62DE2" w:rsidRDefault="0042255D" w:rsidP="0042255D">
      <w:pPr>
        <w:numPr>
          <w:ilvl w:val="0"/>
          <w:numId w:val="3"/>
        </w:numPr>
      </w:pPr>
      <w:r>
        <w:lastRenderedPageBreak/>
        <w:t>Explore the benefits of parity in recreational harvest across Alaska waters.</w:t>
      </w:r>
    </w:p>
    <w:p w14:paraId="251629A9" w14:textId="77777777" w:rsidR="0042255D" w:rsidRDefault="0042255D" w:rsidP="00D5135D">
      <w:pPr>
        <w:rPr>
          <w:b/>
          <w:bCs/>
        </w:rPr>
      </w:pPr>
    </w:p>
    <w:p w14:paraId="0FC3DC5B" w14:textId="3075B570" w:rsidR="00DC6FEF" w:rsidRDefault="00DC6FEF" w:rsidP="00DC6FEF">
      <w:r>
        <w:t>Additionally, the Charter Halibut Management Committee requests the Council task NPFMC staff to include the following in the expanded discussion paper:</w:t>
      </w:r>
    </w:p>
    <w:p w14:paraId="01C04B6C" w14:textId="06616D85" w:rsidR="00D5135D" w:rsidRPr="00D5135D" w:rsidRDefault="00D5135D" w:rsidP="00D5135D">
      <w:r w:rsidRPr="00D5135D">
        <w:rPr>
          <w:b/>
          <w:bCs/>
        </w:rPr>
        <w:t xml:space="preserve">GAF Performance. </w:t>
      </w:r>
      <w:r w:rsidRPr="00D5135D">
        <w:t xml:space="preserve">Examine GAF use over time, current industry reliance on the program, and evaluate whether the current GAF program limits provide qualified charter halibut permit holders sufficient opportunity to offer guided anglers additional harvest opportunity. Assess whether potential expansion of the GAF program would advance or undermine the RQE’s ability to provide shared recreational opportunity. </w:t>
      </w:r>
    </w:p>
    <w:p w14:paraId="0C410123" w14:textId="010B402D" w:rsidR="00D5135D" w:rsidRPr="00D5135D" w:rsidRDefault="00D5135D" w:rsidP="00D5135D">
      <w:r w:rsidRPr="00D5135D">
        <w:rPr>
          <w:b/>
          <w:bCs/>
        </w:rPr>
        <w:t xml:space="preserve">RQE Capacity and Impacts on the Commercial Halibut Fishery. </w:t>
      </w:r>
      <w:r w:rsidRPr="00D5135D">
        <w:t>Evaluate what changes to the RQE program would be required to acquire sufficient quota to support a daily bag limit of one halibut of any size with no day closures in Areas 2C</w:t>
      </w:r>
      <w:r w:rsidR="00B30B06">
        <w:t>.</w:t>
      </w:r>
      <w:r w:rsidRPr="00D5135D">
        <w:t xml:space="preserve"> </w:t>
      </w:r>
      <w:r w:rsidR="00B30B06">
        <w:t>I</w:t>
      </w:r>
      <w:r w:rsidRPr="00D5135D">
        <w:t xml:space="preserve">dentify the additional quota needed under current conditions and the program changes required, including cumulative holdings limits, annual acquisition caps, and eligible quota categories. </w:t>
      </w:r>
    </w:p>
    <w:p w14:paraId="34D55928" w14:textId="77777777" w:rsidR="00D5135D" w:rsidRPr="00D5135D" w:rsidRDefault="00D5135D" w:rsidP="00D5135D">
      <w:r w:rsidRPr="00D5135D">
        <w:t xml:space="preserve">Using available information, identify management options responsive to these findings. Identify essential data gaps, additional analytical requirements, and a proposed schedule for Council consideration. </w:t>
      </w:r>
      <w:r w:rsidRPr="00D5135D">
        <w:rPr>
          <w:i/>
          <w:iCs/>
        </w:rPr>
        <w:t xml:space="preserve">A focused GAF performance assessment may be returned separately if it can be completed sooner. </w:t>
      </w:r>
    </w:p>
    <w:p w14:paraId="21CCD7ED" w14:textId="27A9C229" w:rsidR="00611187" w:rsidRDefault="00611187" w:rsidP="00D5135D"/>
    <w:sectPr w:rsidR="006111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1EB44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51EE5BEC"/>
    <w:multiLevelType w:val="multilevel"/>
    <w:tmpl w:val="7D021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6F5B22"/>
    <w:multiLevelType w:val="hybridMultilevel"/>
    <w:tmpl w:val="CCF21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569336">
    <w:abstractNumId w:val="0"/>
  </w:num>
  <w:num w:numId="2" w16cid:durableId="508908531">
    <w:abstractNumId w:val="2"/>
  </w:num>
  <w:num w:numId="3" w16cid:durableId="2086999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35D"/>
    <w:rsid w:val="00037199"/>
    <w:rsid w:val="00044D92"/>
    <w:rsid w:val="003F3668"/>
    <w:rsid w:val="0042255D"/>
    <w:rsid w:val="00440FEA"/>
    <w:rsid w:val="004D5178"/>
    <w:rsid w:val="004F2D91"/>
    <w:rsid w:val="005A586B"/>
    <w:rsid w:val="00611187"/>
    <w:rsid w:val="006342A3"/>
    <w:rsid w:val="00813EFD"/>
    <w:rsid w:val="00826B31"/>
    <w:rsid w:val="009116B9"/>
    <w:rsid w:val="009C4E85"/>
    <w:rsid w:val="00A45E70"/>
    <w:rsid w:val="00A62DE2"/>
    <w:rsid w:val="00AC48FE"/>
    <w:rsid w:val="00B224A9"/>
    <w:rsid w:val="00B30B06"/>
    <w:rsid w:val="00B6003F"/>
    <w:rsid w:val="00D016C4"/>
    <w:rsid w:val="00D30C65"/>
    <w:rsid w:val="00D47A81"/>
    <w:rsid w:val="00D5135D"/>
    <w:rsid w:val="00DC6FEF"/>
    <w:rsid w:val="00EE07B0"/>
    <w:rsid w:val="00F93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9172"/>
  <w15:chartTrackingRefBased/>
  <w15:docId w15:val="{FEED84D6-19D8-4414-8F64-BDF675D9C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13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13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13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13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13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13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13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13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13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13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13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13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13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13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13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13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13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135D"/>
    <w:rPr>
      <w:rFonts w:eastAsiaTheme="majorEastAsia" w:cstheme="majorBidi"/>
      <w:color w:val="272727" w:themeColor="text1" w:themeTint="D8"/>
    </w:rPr>
  </w:style>
  <w:style w:type="paragraph" w:styleId="Title">
    <w:name w:val="Title"/>
    <w:basedOn w:val="Normal"/>
    <w:next w:val="Normal"/>
    <w:link w:val="TitleChar"/>
    <w:uiPriority w:val="10"/>
    <w:qFormat/>
    <w:rsid w:val="00D513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13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13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13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135D"/>
    <w:pPr>
      <w:spacing w:before="160"/>
      <w:jc w:val="center"/>
    </w:pPr>
    <w:rPr>
      <w:i/>
      <w:iCs/>
      <w:color w:val="404040" w:themeColor="text1" w:themeTint="BF"/>
    </w:rPr>
  </w:style>
  <w:style w:type="character" w:customStyle="1" w:styleId="QuoteChar">
    <w:name w:val="Quote Char"/>
    <w:basedOn w:val="DefaultParagraphFont"/>
    <w:link w:val="Quote"/>
    <w:uiPriority w:val="29"/>
    <w:rsid w:val="00D5135D"/>
    <w:rPr>
      <w:i/>
      <w:iCs/>
      <w:color w:val="404040" w:themeColor="text1" w:themeTint="BF"/>
    </w:rPr>
  </w:style>
  <w:style w:type="paragraph" w:styleId="ListParagraph">
    <w:name w:val="List Paragraph"/>
    <w:basedOn w:val="Normal"/>
    <w:uiPriority w:val="34"/>
    <w:qFormat/>
    <w:rsid w:val="00D5135D"/>
    <w:pPr>
      <w:ind w:left="720"/>
      <w:contextualSpacing/>
    </w:pPr>
  </w:style>
  <w:style w:type="character" w:styleId="IntenseEmphasis">
    <w:name w:val="Intense Emphasis"/>
    <w:basedOn w:val="DefaultParagraphFont"/>
    <w:uiPriority w:val="21"/>
    <w:qFormat/>
    <w:rsid w:val="00D5135D"/>
    <w:rPr>
      <w:i/>
      <w:iCs/>
      <w:color w:val="0F4761" w:themeColor="accent1" w:themeShade="BF"/>
    </w:rPr>
  </w:style>
  <w:style w:type="paragraph" w:styleId="IntenseQuote">
    <w:name w:val="Intense Quote"/>
    <w:basedOn w:val="Normal"/>
    <w:next w:val="Normal"/>
    <w:link w:val="IntenseQuoteChar"/>
    <w:uiPriority w:val="30"/>
    <w:qFormat/>
    <w:rsid w:val="00D513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135D"/>
    <w:rPr>
      <w:i/>
      <w:iCs/>
      <w:color w:val="0F4761" w:themeColor="accent1" w:themeShade="BF"/>
    </w:rPr>
  </w:style>
  <w:style w:type="character" w:styleId="IntenseReference">
    <w:name w:val="Intense Reference"/>
    <w:basedOn w:val="DefaultParagraphFont"/>
    <w:uiPriority w:val="32"/>
    <w:qFormat/>
    <w:rsid w:val="00D5135D"/>
    <w:rPr>
      <w:b/>
      <w:bCs/>
      <w:smallCaps/>
      <w:color w:val="0F4761" w:themeColor="accent1" w:themeShade="BF"/>
      <w:spacing w:val="5"/>
    </w:rPr>
  </w:style>
  <w:style w:type="paragraph" w:styleId="NoSpacing">
    <w:name w:val="No Spacing"/>
    <w:uiPriority w:val="1"/>
    <w:qFormat/>
    <w:rsid w:val="00044D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2714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Forrest Braden</dc:creator>
  <cp:keywords/>
  <dc:description/>
  <cp:lastModifiedBy>Sarah Marrinan</cp:lastModifiedBy>
  <cp:revision>2</cp:revision>
  <dcterms:created xsi:type="dcterms:W3CDTF">2026-09-30T19:08:00Z</dcterms:created>
  <dcterms:modified xsi:type="dcterms:W3CDTF">2026-09-30T19:08:00Z</dcterms:modified>
</cp:coreProperties>
</file>