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80717" w14:textId="1516DA95" w:rsidR="007D1780" w:rsidRPr="007D1780" w:rsidRDefault="007D1780" w:rsidP="007D1780">
      <w:pPr>
        <w:rPr>
          <w:b/>
        </w:rPr>
      </w:pPr>
      <w:bookmarkStart w:id="0" w:name="_Toc482344406"/>
      <w:bookmarkStart w:id="1" w:name="_GoBack"/>
      <w:r w:rsidRPr="007D1780">
        <w:rPr>
          <w:b/>
        </w:rPr>
        <w:t>Excerpt from June 2017 Discussion paper on performance metrics</w:t>
      </w:r>
    </w:p>
    <w:bookmarkEnd w:id="1"/>
    <w:p w14:paraId="582D1369" w14:textId="77777777" w:rsidR="007D1780" w:rsidRPr="008A2C28" w:rsidRDefault="007D1780" w:rsidP="007D1780">
      <w:pPr>
        <w:pStyle w:val="Heading1"/>
      </w:pPr>
      <w:r>
        <w:t>Performance metrics review</w:t>
      </w:r>
      <w:bookmarkEnd w:id="0"/>
    </w:p>
    <w:p w14:paraId="544E86E0" w14:textId="77777777" w:rsidR="007D1780" w:rsidRDefault="007D1780" w:rsidP="007D1780">
      <w:r w:rsidRPr="007A318E">
        <w:t xml:space="preserve">Choosing between different ABM management alternatives can be done by comparing how each alternative meets defined objectives. Therefore, it is important to define detailed objectives with measurable outcomes.  This can be </w:t>
      </w:r>
      <w:proofErr w:type="gramStart"/>
      <w:r w:rsidRPr="007A318E">
        <w:t>difficult, and</w:t>
      </w:r>
      <w:proofErr w:type="gramEnd"/>
      <w:r w:rsidRPr="007A318E">
        <w:t xml:space="preserve"> should involve input from stakeholders and decision-makers. Typically, overarching goals are defined first and translated into measurable objectives, and there may be multiple measurable objectives for each goal. Sometimes it is helpful for analysts to ask stakeholders and decision-makers questions which can then lead to measurable objectives. For example, a question related to an overarching goal of “maintaining a healthy fish stock” may be “Is there a minimum spawning stock abundance that is desired?” which may lead to a measurable objective of “keeping the spawning stock above a certain abundance for a specified number of years with a specified probability.” This measurable objective has an outcome (“a certain abundance”), a time-frame (“a specified number of years”) and a probability or acceptable risk level.  A performance metric can then be defined to evaluate whether a measurable objective has been achieved (e.g., the probability that the spawning stock abundance is above a certain level over a specific number of years).</w:t>
      </w:r>
      <w:bookmarkStart w:id="2" w:name="_a95iljvefiau" w:colFirst="0" w:colLast="0"/>
      <w:bookmarkEnd w:id="2"/>
    </w:p>
    <w:p w14:paraId="63991025" w14:textId="77777777" w:rsidR="007D1780" w:rsidRPr="008A2C28" w:rsidRDefault="007D1780" w:rsidP="007D1780">
      <w:pPr>
        <w:pStyle w:val="Heading2"/>
      </w:pPr>
      <w:bookmarkStart w:id="3" w:name="_Toc482344407"/>
      <w:r w:rsidRPr="4C05CE54">
        <w:rPr>
          <w:rFonts w:eastAsia="Calibri"/>
        </w:rPr>
        <w:t>Council Purpose a</w:t>
      </w:r>
      <w:r>
        <w:rPr>
          <w:rFonts w:eastAsia="Calibri"/>
        </w:rPr>
        <w:t>nd Need (adopted April 2016)</w:t>
      </w:r>
      <w:bookmarkEnd w:id="3"/>
    </w:p>
    <w:p w14:paraId="020D544E" w14:textId="77777777" w:rsidR="007D1780" w:rsidRPr="007A318E" w:rsidRDefault="007D1780" w:rsidP="007D1780">
      <w:r>
        <w:t xml:space="preserve">“The current fixed </w:t>
      </w:r>
      <w:proofErr w:type="gramStart"/>
      <w:r>
        <w:t>yield based</w:t>
      </w:r>
      <w:proofErr w:type="gramEnd"/>
      <w:r>
        <w:t xml:space="preserve"> halibut PSC caps are inconsistent with management of the directed halibut fisheries and Council management of groundfish fisheries, which are managed based on abundance. When halibut abundance declines, PSC becomes a larger proportion of total halibut removals and thereby further reduces the proportion and amount of halibut available for harvest in directed halibut fisheries. Conversely, if halibut abundance increases, halibut PSC limits could be unnecessarily constraining. The Council is considering linking PSC limits to halibut abundance to provide a responsive management approach at varying levels of halibut abundance.  The Council is considering abundance-based PSC limits to control total halibut mortality,</w:t>
      </w:r>
      <w:r w:rsidRPr="4D1978A2">
        <w:rPr>
          <w:b/>
          <w:bCs/>
        </w:rPr>
        <w:t xml:space="preserve"> </w:t>
      </w:r>
      <w:r>
        <w:t>provide an opportunity for the directed halibut fishery, and protect the halibut spawning stock biomass, particularly at low levels of abundance. The Council recognizes that abundance-based halibut PSC limits may increase and decrease with changes in halibut abundance.”</w:t>
      </w:r>
    </w:p>
    <w:p w14:paraId="5467E749" w14:textId="77777777" w:rsidR="007D1780" w:rsidRPr="007A318E" w:rsidRDefault="007D1780" w:rsidP="007D1780">
      <w:pPr>
        <w:spacing w:after="0"/>
        <w:ind w:left="0"/>
      </w:pPr>
      <w:r>
        <w:t>Council objectives inferred from the Purpose and Need for this action to form overarching goals:</w:t>
      </w:r>
    </w:p>
    <w:p w14:paraId="3120C925" w14:textId="77777777" w:rsidR="007D1780" w:rsidRDefault="007D1780" w:rsidP="007D1780">
      <w:pPr>
        <w:pStyle w:val="ListParagraph"/>
        <w:numPr>
          <w:ilvl w:val="0"/>
          <w:numId w:val="2"/>
        </w:numPr>
      </w:pPr>
      <w:r>
        <w:t>Halibut PSC limits should be indexed to halibut abundance</w:t>
      </w:r>
    </w:p>
    <w:p w14:paraId="51D150F4" w14:textId="77777777" w:rsidR="007D1780" w:rsidRPr="007A318E" w:rsidRDefault="007D1780" w:rsidP="007D1780">
      <w:pPr>
        <w:pStyle w:val="ListParagraph"/>
        <w:numPr>
          <w:ilvl w:val="0"/>
          <w:numId w:val="2"/>
        </w:numPr>
      </w:pPr>
      <w:r>
        <w:t>Halibut spawning stock biomass should be protected especially at lower levels of abundance</w:t>
      </w:r>
    </w:p>
    <w:p w14:paraId="661B898A" w14:textId="77777777" w:rsidR="007D1780" w:rsidRPr="007A318E" w:rsidRDefault="007D1780" w:rsidP="007D1780">
      <w:pPr>
        <w:pStyle w:val="ListParagraph"/>
        <w:numPr>
          <w:ilvl w:val="0"/>
          <w:numId w:val="2"/>
        </w:numPr>
      </w:pPr>
      <w:r>
        <w:t>There should be flexibility provided to avoid unnecessarily constraining the groundfish fishery particularly when halibut abundance is high</w:t>
      </w:r>
    </w:p>
    <w:p w14:paraId="4978585C" w14:textId="77777777" w:rsidR="007D1780" w:rsidRPr="007A318E" w:rsidRDefault="007D1780" w:rsidP="007D1780">
      <w:pPr>
        <w:pStyle w:val="ListParagraph"/>
        <w:numPr>
          <w:ilvl w:val="0"/>
          <w:numId w:val="2"/>
        </w:numPr>
      </w:pPr>
      <w:r>
        <w:t>Provide for directed halibut fishing operations [in the Bering Sea].</w:t>
      </w:r>
    </w:p>
    <w:p w14:paraId="28E2AA79" w14:textId="77777777" w:rsidR="007D1780" w:rsidRDefault="007D1780" w:rsidP="007D1780">
      <w:pPr>
        <w:pStyle w:val="ListParagraph"/>
        <w:numPr>
          <w:ilvl w:val="0"/>
          <w:numId w:val="2"/>
        </w:numPr>
      </w:pPr>
      <w:r>
        <w:t>Provide for some stability in PSC limits on an inter-annual basis.</w:t>
      </w:r>
    </w:p>
    <w:p w14:paraId="1AB2B0C3" w14:textId="77777777" w:rsidR="007D1780" w:rsidRDefault="007D1780" w:rsidP="007D1780">
      <w:r w:rsidRPr="007A318E">
        <w:t>These overarching goals in the attached tables were then used to formulate draft measurable objectives from which to derive performance metrics</w:t>
      </w:r>
      <w:r>
        <w:t xml:space="preserve"> incorporating feedback from stakeholders at the February 2017 workshop</w:t>
      </w:r>
      <w:r w:rsidRPr="007A318E">
        <w:t xml:space="preserve">. These overarching goals may be in competition with each other. To best design and evaluate alternatives which can be compared in a future risk assessment to assist policy-level decision-making, specific measurable objectives for this action must be defined. As noted above, measurable objectives are best defined in conjunction with stakeholder input.  </w:t>
      </w:r>
      <w:bookmarkStart w:id="4" w:name="_kcaaad7bav9t" w:colFirst="0" w:colLast="0"/>
      <w:bookmarkEnd w:id="4"/>
    </w:p>
    <w:p w14:paraId="5433E348" w14:textId="77777777" w:rsidR="007D1780" w:rsidRDefault="007D1780" w:rsidP="007D1780">
      <w:pPr>
        <w:pStyle w:val="Heading2"/>
        <w:rPr>
          <w:sz w:val="20"/>
          <w:szCs w:val="20"/>
        </w:rPr>
      </w:pPr>
      <w:bookmarkStart w:id="5" w:name="_Toc482344408"/>
      <w:r>
        <w:rPr>
          <w:sz w:val="20"/>
          <w:szCs w:val="20"/>
        </w:rPr>
        <w:t>Summary of performance metrics</w:t>
      </w:r>
      <w:bookmarkEnd w:id="5"/>
    </w:p>
    <w:p w14:paraId="65A33511" w14:textId="77777777" w:rsidR="007D1780" w:rsidRPr="00BF4123" w:rsidRDefault="007D1780" w:rsidP="007D1780">
      <w:pPr>
        <w:keepNext/>
        <w:spacing w:after="0"/>
        <w:ind w:left="14"/>
        <w:rPr>
          <w:rFonts w:eastAsia="Calibri"/>
        </w:rPr>
      </w:pPr>
      <w:r>
        <w:rPr>
          <w:rFonts w:eastAsia="Calibri"/>
        </w:rPr>
        <w:t xml:space="preserve">Table 3 lists performance metrics and features relative to Council objectives (and how they might be measured). </w:t>
      </w:r>
      <w:r>
        <w:t>Relative to consideration of</w:t>
      </w:r>
      <w:r w:rsidRPr="00B850BD">
        <w:t xml:space="preserve"> individual indices </w:t>
      </w:r>
      <w:r>
        <w:t>the WG noted the following in considering elements of Table 3:</w:t>
      </w:r>
    </w:p>
    <w:p w14:paraId="4137CD4E" w14:textId="77777777" w:rsidR="007D1780" w:rsidRPr="00B850BD" w:rsidRDefault="007D1780" w:rsidP="007D1780">
      <w:pPr>
        <w:tabs>
          <w:tab w:val="clear" w:pos="0"/>
          <w:tab w:val="clear" w:pos="842"/>
          <w:tab w:val="left" w:pos="540"/>
        </w:tabs>
        <w:spacing w:after="0"/>
        <w:ind w:left="14"/>
      </w:pPr>
      <w:r w:rsidRPr="00B850BD">
        <w:tab/>
        <w:t>Index is proportional to halibut abundance that it is meant to measure</w:t>
      </w:r>
    </w:p>
    <w:p w14:paraId="14CBF40B" w14:textId="77777777" w:rsidR="007D1780" w:rsidRPr="00B850BD" w:rsidRDefault="007D1780" w:rsidP="007D1780">
      <w:pPr>
        <w:tabs>
          <w:tab w:val="clear" w:pos="0"/>
          <w:tab w:val="clear" w:pos="842"/>
          <w:tab w:val="left" w:pos="540"/>
        </w:tabs>
        <w:spacing w:after="0"/>
        <w:ind w:left="14"/>
      </w:pPr>
      <w:r w:rsidRPr="00B850BD">
        <w:tab/>
        <w:t>Index is not subject to an unreasonable amount of uncertainty</w:t>
      </w:r>
      <w:r>
        <w:t xml:space="preserve"> </w:t>
      </w:r>
    </w:p>
    <w:p w14:paraId="6F5E0124" w14:textId="77777777" w:rsidR="007D1780" w:rsidRPr="00B850BD" w:rsidRDefault="007D1780" w:rsidP="007D1780">
      <w:pPr>
        <w:tabs>
          <w:tab w:val="clear" w:pos="0"/>
          <w:tab w:val="clear" w:pos="842"/>
          <w:tab w:val="left" w:pos="540"/>
        </w:tabs>
        <w:spacing w:after="0"/>
        <w:ind w:left="14"/>
      </w:pPr>
      <w:r w:rsidRPr="00B850BD">
        <w:tab/>
        <w:t>Index is available in a timely manner</w:t>
      </w:r>
    </w:p>
    <w:p w14:paraId="045EB64C" w14:textId="77777777" w:rsidR="007D1780" w:rsidRPr="00B850BD" w:rsidRDefault="007D1780" w:rsidP="007D1780">
      <w:pPr>
        <w:tabs>
          <w:tab w:val="clear" w:pos="0"/>
          <w:tab w:val="clear" w:pos="842"/>
          <w:tab w:val="left" w:pos="540"/>
        </w:tabs>
        <w:spacing w:after="0"/>
        <w:ind w:left="14"/>
      </w:pPr>
      <w:r w:rsidRPr="00B850BD">
        <w:tab/>
        <w:t>Information to derive index is easily obtained.</w:t>
      </w:r>
    </w:p>
    <w:p w14:paraId="40842A98" w14:textId="77777777" w:rsidR="007D1780" w:rsidRPr="00B850BD" w:rsidRDefault="007D1780" w:rsidP="007D1780">
      <w:pPr>
        <w:tabs>
          <w:tab w:val="clear" w:pos="0"/>
          <w:tab w:val="clear" w:pos="842"/>
          <w:tab w:val="left" w:pos="540"/>
        </w:tabs>
        <w:spacing w:after="0"/>
        <w:ind w:left="14"/>
      </w:pPr>
      <w:r w:rsidRPr="00B850BD">
        <w:lastRenderedPageBreak/>
        <w:tab/>
        <w:t>Which Council objectives does index relate to?</w:t>
      </w:r>
    </w:p>
    <w:p w14:paraId="2962F0C5" w14:textId="77777777" w:rsidR="007D1780" w:rsidRPr="00BF4123" w:rsidRDefault="007D1780" w:rsidP="007D1780">
      <w:pPr>
        <w:rPr>
          <w:rFonts w:eastAsia="Calibri"/>
        </w:rPr>
      </w:pPr>
      <w:r>
        <w:t>For</w:t>
      </w:r>
      <w:r w:rsidRPr="00B850BD">
        <w:t xml:space="preserve"> combinations of indices (integrated index)</w:t>
      </w:r>
      <w:r>
        <w:t xml:space="preserve"> the </w:t>
      </w:r>
      <w:r w:rsidRPr="00B850BD">
        <w:t xml:space="preserve">objectives </w:t>
      </w:r>
      <w:r>
        <w:t xml:space="preserve">in Table 3 should be evaluated </w:t>
      </w:r>
      <w:r w:rsidRPr="00B850BD">
        <w:t>using simulations</w:t>
      </w:r>
      <w:r>
        <w:t xml:space="preserve"> and consider old and young population components (with correlations between indices considered) </w:t>
      </w:r>
      <w:proofErr w:type="gramStart"/>
      <w:r>
        <w:t>and also</w:t>
      </w:r>
      <w:proofErr w:type="gramEnd"/>
      <w:r>
        <w:t xml:space="preserve"> the coastwide stock status and geographic range.</w:t>
      </w:r>
      <w:r w:rsidRPr="00C04482">
        <w:t xml:space="preserve"> </w:t>
      </w:r>
    </w:p>
    <w:p w14:paraId="53BB9074" w14:textId="77777777" w:rsidR="007D1780" w:rsidRPr="008A2C28" w:rsidRDefault="007D1780" w:rsidP="007D1780">
      <w:pPr>
        <w:pStyle w:val="Heading2"/>
        <w:rPr>
          <w:sz w:val="20"/>
          <w:szCs w:val="20"/>
        </w:rPr>
      </w:pPr>
      <w:bookmarkStart w:id="6" w:name="_Toc482344409"/>
      <w:r w:rsidRPr="4C05CE54">
        <w:rPr>
          <w:rFonts w:eastAsia="Calibri"/>
        </w:rPr>
        <w:t>Glossary of terms</w:t>
      </w:r>
      <w:bookmarkEnd w:id="6"/>
    </w:p>
    <w:p w14:paraId="5DA198A4" w14:textId="77777777" w:rsidR="007D1780" w:rsidRDefault="007D1780" w:rsidP="007D1780">
      <w:pPr>
        <w:keepNext/>
        <w:tabs>
          <w:tab w:val="clear" w:pos="842"/>
          <w:tab w:val="clear" w:pos="1440"/>
        </w:tabs>
        <w:ind w:left="2174" w:hanging="2160"/>
      </w:pPr>
      <w:r w:rsidRPr="4C05CE54">
        <w:rPr>
          <w:b/>
          <w:bCs/>
        </w:rPr>
        <w:t>Council Objectives</w:t>
      </w:r>
      <w:r w:rsidRPr="007A318E">
        <w:rPr>
          <w:b/>
        </w:rPr>
        <w:tab/>
      </w:r>
      <w:r w:rsidRPr="007A318E">
        <w:t>A list of overarching goals for abundance-based halibut PSC management that were inferred from the Council’s Purpose and Need Statement.</w:t>
      </w:r>
    </w:p>
    <w:p w14:paraId="1B69B800" w14:textId="77777777" w:rsidR="007D1780" w:rsidRDefault="007D1780" w:rsidP="007D1780">
      <w:pPr>
        <w:tabs>
          <w:tab w:val="clear" w:pos="842"/>
          <w:tab w:val="clear" w:pos="1440"/>
        </w:tabs>
        <w:ind w:left="2178" w:hanging="2159"/>
      </w:pPr>
      <w:r w:rsidRPr="4C05CE54">
        <w:rPr>
          <w:b/>
          <w:bCs/>
        </w:rPr>
        <w:t>Measurable Objective</w:t>
      </w:r>
      <w:r w:rsidRPr="007A318E">
        <w:tab/>
        <w:t>An objective that can be specified explicitly (e.g., ensure the spawning biomass stays above a minimum threshold) and evaluated with a performance metric (e.g., ensure the spawning biomass stays above 20% of the unfished spawning biomass with 90% probability) which reflects and is linked to the Council objectives. Performance metrics are used to judge policy alternatives relative to these objectives.</w:t>
      </w:r>
      <w:r w:rsidRPr="4D1978A2">
        <w:t xml:space="preserve"> </w:t>
      </w:r>
      <w:r w:rsidRPr="007A318E">
        <w:t>An additional quantity as part of the measurable objective may be a probability (level of toler</w:t>
      </w:r>
      <w:r>
        <w:t xml:space="preserve">ance) which to evaluate against. </w:t>
      </w:r>
      <w:r w:rsidRPr="007A318E">
        <w:t>Probabilities are framed as a risk (something undesirable happening</w:t>
      </w:r>
      <w:r>
        <w:t>).</w:t>
      </w:r>
    </w:p>
    <w:p w14:paraId="41C4AB78" w14:textId="77777777" w:rsidR="007D1780" w:rsidRDefault="007D1780" w:rsidP="007D1780">
      <w:pPr>
        <w:tabs>
          <w:tab w:val="clear" w:pos="842"/>
          <w:tab w:val="clear" w:pos="1440"/>
        </w:tabs>
        <w:ind w:left="2178" w:hanging="2159"/>
      </w:pPr>
      <w:r w:rsidRPr="4C05CE54">
        <w:rPr>
          <w:b/>
          <w:bCs/>
        </w:rPr>
        <w:t>Threshold</w:t>
      </w:r>
      <w:r w:rsidRPr="007A318E">
        <w:rPr>
          <w:b/>
        </w:rPr>
        <w:tab/>
      </w:r>
      <w:r>
        <w:rPr>
          <w:b/>
        </w:rPr>
        <w:tab/>
      </w:r>
      <w:r w:rsidRPr="007A318E">
        <w:t>A value or range of values that must be achieved to meet a measurable objective.</w:t>
      </w:r>
      <w:r w:rsidRPr="007A318E">
        <w:rPr>
          <w:b/>
        </w:rPr>
        <w:tab/>
      </w:r>
    </w:p>
    <w:p w14:paraId="30F301C5" w14:textId="77777777" w:rsidR="007D1780" w:rsidRDefault="007D1780" w:rsidP="007D1780">
      <w:pPr>
        <w:tabs>
          <w:tab w:val="clear" w:pos="842"/>
          <w:tab w:val="clear" w:pos="1440"/>
        </w:tabs>
        <w:ind w:left="2178" w:hanging="2159"/>
      </w:pPr>
      <w:r w:rsidRPr="4C05CE54">
        <w:rPr>
          <w:b/>
          <w:bCs/>
        </w:rPr>
        <w:t>Time Frame</w:t>
      </w:r>
      <w:r>
        <w:rPr>
          <w:b/>
        </w:rPr>
        <w:tab/>
      </w:r>
      <w:r w:rsidRPr="007A318E">
        <w:t>There are two concepts here.  The first is how far into the future is considered (e.g., short-term or long-term). The second is a range of years over which the measurable objective is to be evaluated.</w:t>
      </w:r>
      <w:r w:rsidRPr="4C05CE54">
        <w:rPr>
          <w:b/>
          <w:bCs/>
        </w:rPr>
        <w:t xml:space="preserve"> </w:t>
      </w:r>
      <w:r w:rsidRPr="007A318E">
        <w:t>This can be short-term, long-term, annual, a period of 10 years, etc.</w:t>
      </w:r>
    </w:p>
    <w:p w14:paraId="7597C0F9" w14:textId="77777777" w:rsidR="007D1780" w:rsidRDefault="007D1780" w:rsidP="007D1780">
      <w:pPr>
        <w:tabs>
          <w:tab w:val="clear" w:pos="842"/>
          <w:tab w:val="clear" w:pos="1440"/>
        </w:tabs>
        <w:ind w:left="2178" w:hanging="2159"/>
      </w:pPr>
      <w:r w:rsidRPr="4C05CE54">
        <w:rPr>
          <w:b/>
          <w:bCs/>
        </w:rPr>
        <w:t>Performance Metric</w:t>
      </w:r>
      <w:r w:rsidRPr="007A318E">
        <w:tab/>
      </w:r>
      <w:proofErr w:type="spellStart"/>
      <w:r w:rsidRPr="007A318E">
        <w:t>Metric</w:t>
      </w:r>
      <w:proofErr w:type="spellEnd"/>
      <w:r w:rsidRPr="007A318E">
        <w:t xml:space="preserve"> or statistic that is used to evaluate whether a measurable objective is achieved. Performance metrics are used in scientific analysis to gauge success in meeting measurable objectives. The Performance Metric is determined from the Threshold and Time Frame.</w:t>
      </w:r>
    </w:p>
    <w:p w14:paraId="59D30B90" w14:textId="77777777" w:rsidR="007D1780" w:rsidRDefault="007D1780" w:rsidP="007D1780">
      <w:pPr>
        <w:tabs>
          <w:tab w:val="clear" w:pos="842"/>
          <w:tab w:val="clear" w:pos="1440"/>
        </w:tabs>
        <w:ind w:left="2178" w:hanging="2159"/>
      </w:pPr>
      <w:r w:rsidRPr="4C05CE54">
        <w:rPr>
          <w:b/>
          <w:bCs/>
        </w:rPr>
        <w:t>Other Terms:</w:t>
      </w:r>
    </w:p>
    <w:p w14:paraId="106F7DF0" w14:textId="77777777" w:rsidR="007D1780" w:rsidRDefault="007D1780" w:rsidP="007D1780">
      <w:pPr>
        <w:tabs>
          <w:tab w:val="clear" w:pos="0"/>
          <w:tab w:val="clear" w:pos="842"/>
          <w:tab w:val="clear" w:pos="1440"/>
        </w:tabs>
        <w:ind w:left="2178" w:hanging="1908"/>
      </w:pPr>
      <w:r w:rsidRPr="4C05CE54">
        <w:rPr>
          <w:b/>
          <w:bCs/>
        </w:rPr>
        <w:t>AAV</w:t>
      </w:r>
      <w:r w:rsidRPr="007A318E">
        <w:rPr>
          <w:b/>
        </w:rPr>
        <w:tab/>
      </w:r>
      <w:r w:rsidRPr="007A318E">
        <w:t>Average Annual Variability</w:t>
      </w:r>
    </w:p>
    <w:p w14:paraId="203F25E0" w14:textId="77777777" w:rsidR="007D1780" w:rsidRDefault="007D1780" w:rsidP="007D1780">
      <w:pPr>
        <w:tabs>
          <w:tab w:val="clear" w:pos="0"/>
          <w:tab w:val="clear" w:pos="842"/>
          <w:tab w:val="clear" w:pos="1440"/>
        </w:tabs>
        <w:ind w:left="2178" w:hanging="1908"/>
      </w:pPr>
      <w:r w:rsidRPr="4C05CE54">
        <w:rPr>
          <w:b/>
          <w:bCs/>
        </w:rPr>
        <w:t>ABM</w:t>
      </w:r>
      <w:r w:rsidRPr="007A318E">
        <w:rPr>
          <w:b/>
        </w:rPr>
        <w:tab/>
      </w:r>
      <w:r w:rsidRPr="007A318E">
        <w:t>Abundance based management specifically for Pacific halibut</w:t>
      </w:r>
    </w:p>
    <w:p w14:paraId="319CB301" w14:textId="77777777" w:rsidR="007D1780" w:rsidRDefault="007D1780" w:rsidP="007D1780">
      <w:pPr>
        <w:tabs>
          <w:tab w:val="clear" w:pos="0"/>
          <w:tab w:val="clear" w:pos="842"/>
          <w:tab w:val="clear" w:pos="1440"/>
        </w:tabs>
        <w:ind w:left="2178" w:hanging="1908"/>
      </w:pPr>
      <w:r w:rsidRPr="4C05CE54">
        <w:rPr>
          <w:b/>
          <w:bCs/>
        </w:rPr>
        <w:t>Control Rule</w:t>
      </w:r>
      <w:r w:rsidRPr="007A318E">
        <w:rPr>
          <w:b/>
        </w:rPr>
        <w:tab/>
      </w:r>
      <w:r w:rsidRPr="007A318E">
        <w:t>A function relating a metric of stock status to a resulting management limit, such as a catch, fishing mortality, or effort limit</w:t>
      </w:r>
      <w:r w:rsidRPr="4C05CE54">
        <w:rPr>
          <w:b/>
          <w:bCs/>
        </w:rPr>
        <w:t xml:space="preserve"> </w:t>
      </w:r>
    </w:p>
    <w:p w14:paraId="638C02C8" w14:textId="77777777" w:rsidR="007D1780" w:rsidRDefault="007D1780" w:rsidP="007D1780">
      <w:pPr>
        <w:tabs>
          <w:tab w:val="clear" w:pos="0"/>
          <w:tab w:val="clear" w:pos="842"/>
          <w:tab w:val="clear" w:pos="1440"/>
        </w:tabs>
        <w:ind w:left="2178" w:hanging="1908"/>
      </w:pPr>
      <w:r w:rsidRPr="4C05CE54">
        <w:rPr>
          <w:b/>
          <w:bCs/>
        </w:rPr>
        <w:t>BCR</w:t>
      </w:r>
      <w:r w:rsidRPr="007A318E">
        <w:rPr>
          <w:b/>
        </w:rPr>
        <w:tab/>
      </w:r>
      <w:r w:rsidRPr="007A318E">
        <w:t>Bycatch control rule; a control rule for setting the limit of a bycatch (PSC) species based on a specified metric of stock status</w:t>
      </w:r>
    </w:p>
    <w:p w14:paraId="0D538F32" w14:textId="77777777" w:rsidR="007D1780" w:rsidRDefault="007D1780" w:rsidP="007D1780">
      <w:pPr>
        <w:tabs>
          <w:tab w:val="clear" w:pos="0"/>
          <w:tab w:val="clear" w:pos="842"/>
          <w:tab w:val="clear" w:pos="1440"/>
        </w:tabs>
        <w:ind w:left="2178" w:hanging="1908"/>
      </w:pPr>
      <w:r w:rsidRPr="4C05CE54">
        <w:rPr>
          <w:b/>
          <w:bCs/>
        </w:rPr>
        <w:t>PSC</w:t>
      </w:r>
      <w:r w:rsidRPr="007A318E">
        <w:rPr>
          <w:b/>
        </w:rPr>
        <w:tab/>
      </w:r>
      <w:r w:rsidRPr="007A318E">
        <w:t>Prohibited species catch (for halibut, synonymous with bycatch)</w:t>
      </w:r>
    </w:p>
    <w:p w14:paraId="59A93127" w14:textId="77777777" w:rsidR="007D1780" w:rsidRDefault="007D1780" w:rsidP="007D1780">
      <w:pPr>
        <w:tabs>
          <w:tab w:val="clear" w:pos="0"/>
          <w:tab w:val="clear" w:pos="842"/>
          <w:tab w:val="clear" w:pos="1440"/>
        </w:tabs>
        <w:ind w:left="2178" w:hanging="1908"/>
      </w:pPr>
      <w:r w:rsidRPr="4C05CE54">
        <w:rPr>
          <w:b/>
          <w:bCs/>
        </w:rPr>
        <w:t>SPR</w:t>
      </w:r>
      <w:r w:rsidRPr="007A318E">
        <w:rPr>
          <w:b/>
        </w:rPr>
        <w:tab/>
      </w:r>
      <w:r w:rsidRPr="007A318E">
        <w:t xml:space="preserve">Spawning potential ratio; the ratio of spawning biomass per recruit at a </w:t>
      </w:r>
      <w:proofErr w:type="gramStart"/>
      <w:r w:rsidRPr="007A318E">
        <w:t>particular level</w:t>
      </w:r>
      <w:proofErr w:type="gramEnd"/>
      <w:r w:rsidRPr="007A318E">
        <w:t xml:space="preserve"> of fishing mortality to the spawning biomass per recruit under an assumption of no fishing. Spawning biomass per recruit is the amount of future spawning biomass that can be expected as the result of a fish spawning over the course of its lifetime, assuming a </w:t>
      </w:r>
      <w:proofErr w:type="gramStart"/>
      <w:r w:rsidRPr="007A318E">
        <w:t>particular level</w:t>
      </w:r>
      <w:proofErr w:type="gramEnd"/>
      <w:r w:rsidRPr="007A318E">
        <w:t xml:space="preserve"> of constant fishing mortality.</w:t>
      </w:r>
    </w:p>
    <w:p w14:paraId="4ACF83A7" w14:textId="77777777" w:rsidR="007D1780" w:rsidRPr="007A318E" w:rsidRDefault="007D1780" w:rsidP="007D1780">
      <w:pPr>
        <w:tabs>
          <w:tab w:val="clear" w:pos="0"/>
          <w:tab w:val="clear" w:pos="842"/>
          <w:tab w:val="clear" w:pos="1440"/>
        </w:tabs>
        <w:ind w:left="2178" w:hanging="1908"/>
      </w:pPr>
      <w:r w:rsidRPr="4C05CE54">
        <w:rPr>
          <w:b/>
          <w:bCs/>
        </w:rPr>
        <w:t>SSB</w:t>
      </w:r>
      <w:r w:rsidRPr="007A318E">
        <w:rPr>
          <w:b/>
        </w:rPr>
        <w:tab/>
      </w:r>
      <w:r w:rsidRPr="007A318E">
        <w:t>Spawning stock biomass</w:t>
      </w:r>
    </w:p>
    <w:p w14:paraId="15FA7962" w14:textId="77777777" w:rsidR="007D1780" w:rsidRDefault="007D1780" w:rsidP="007D1780">
      <w:pPr>
        <w:pStyle w:val="Caption"/>
      </w:pPr>
      <w:r>
        <w:lastRenderedPageBreak/>
        <w:t>Table 3.</w:t>
      </w:r>
      <w:r>
        <w:tab/>
        <w:t>Council objectives and overarching goals (first column) and measures and characteristics of performance metrics that might apply for contrasting future alternative PSC management measures.</w:t>
      </w:r>
    </w:p>
    <w:tbl>
      <w:tblPr>
        <w:tblW w:w="0" w:type="auto"/>
        <w:tblCellMar>
          <w:left w:w="0" w:type="dxa"/>
          <w:right w:w="0" w:type="dxa"/>
        </w:tblCellMar>
        <w:tblLook w:val="04A0" w:firstRow="1" w:lastRow="0" w:firstColumn="1" w:lastColumn="0" w:noHBand="0" w:noVBand="1"/>
      </w:tblPr>
      <w:tblGrid>
        <w:gridCol w:w="1431"/>
        <w:gridCol w:w="3143"/>
        <w:gridCol w:w="930"/>
        <w:gridCol w:w="1617"/>
        <w:gridCol w:w="2239"/>
      </w:tblGrid>
      <w:tr w:rsidR="007D1780" w:rsidRPr="00C04482" w14:paraId="743981B1" w14:textId="77777777" w:rsidTr="00C44A2C">
        <w:tc>
          <w:tcPr>
            <w:tcW w:w="1431" w:type="dxa"/>
            <w:tcBorders>
              <w:top w:val="single" w:sz="4" w:space="0" w:color="auto"/>
              <w:bottom w:val="single" w:sz="4" w:space="0" w:color="auto"/>
            </w:tcBorders>
            <w:tcMar>
              <w:top w:w="30" w:type="dxa"/>
              <w:left w:w="45" w:type="dxa"/>
              <w:bottom w:w="30" w:type="dxa"/>
              <w:right w:w="45" w:type="dxa"/>
            </w:tcMar>
            <w:vAlign w:val="bottom"/>
            <w:hideMark/>
          </w:tcPr>
          <w:p w14:paraId="450F64AA" w14:textId="77777777" w:rsidR="007D1780" w:rsidRPr="00C04482" w:rsidRDefault="007D1780" w:rsidP="00C44A2C">
            <w:pPr>
              <w:keepNext/>
              <w:keepLines/>
              <w:spacing w:after="0"/>
              <w:ind w:left="0"/>
              <w:contextualSpacing/>
              <w:rPr>
                <w:b/>
                <w:bCs/>
                <w:sz w:val="18"/>
                <w:szCs w:val="18"/>
              </w:rPr>
            </w:pPr>
            <w:r w:rsidRPr="4C05CE54">
              <w:rPr>
                <w:b/>
                <w:bCs/>
                <w:sz w:val="18"/>
                <w:szCs w:val="18"/>
              </w:rPr>
              <w:t xml:space="preserve">Council Objectives </w:t>
            </w:r>
          </w:p>
        </w:tc>
        <w:tc>
          <w:tcPr>
            <w:tcW w:w="3143" w:type="dxa"/>
            <w:tcBorders>
              <w:top w:val="single" w:sz="4" w:space="0" w:color="auto"/>
              <w:bottom w:val="single" w:sz="4" w:space="0" w:color="auto"/>
            </w:tcBorders>
            <w:tcMar>
              <w:top w:w="30" w:type="dxa"/>
              <w:left w:w="45" w:type="dxa"/>
              <w:bottom w:w="30" w:type="dxa"/>
              <w:right w:w="45" w:type="dxa"/>
            </w:tcMar>
            <w:vAlign w:val="bottom"/>
            <w:hideMark/>
          </w:tcPr>
          <w:p w14:paraId="7A95B335" w14:textId="77777777" w:rsidR="007D1780" w:rsidRPr="00C04482" w:rsidRDefault="007D1780" w:rsidP="00C44A2C">
            <w:pPr>
              <w:keepNext/>
              <w:keepLines/>
              <w:spacing w:after="0"/>
              <w:ind w:left="0"/>
              <w:contextualSpacing/>
              <w:rPr>
                <w:b/>
                <w:bCs/>
                <w:sz w:val="18"/>
                <w:szCs w:val="18"/>
              </w:rPr>
            </w:pPr>
            <w:r w:rsidRPr="4C05CE54">
              <w:rPr>
                <w:b/>
                <w:bCs/>
                <w:sz w:val="18"/>
                <w:szCs w:val="18"/>
              </w:rPr>
              <w:t>Measurable objective</w:t>
            </w:r>
          </w:p>
        </w:tc>
        <w:tc>
          <w:tcPr>
            <w:tcW w:w="930" w:type="dxa"/>
            <w:tcBorders>
              <w:top w:val="single" w:sz="4" w:space="0" w:color="auto"/>
              <w:bottom w:val="single" w:sz="4" w:space="0" w:color="auto"/>
            </w:tcBorders>
            <w:tcMar>
              <w:top w:w="30" w:type="dxa"/>
              <w:left w:w="45" w:type="dxa"/>
              <w:bottom w:w="30" w:type="dxa"/>
              <w:right w:w="45" w:type="dxa"/>
            </w:tcMar>
            <w:vAlign w:val="bottom"/>
            <w:hideMark/>
          </w:tcPr>
          <w:p w14:paraId="5C08F635" w14:textId="77777777" w:rsidR="007D1780" w:rsidRPr="00C04482" w:rsidRDefault="007D1780" w:rsidP="00C44A2C">
            <w:pPr>
              <w:keepNext/>
              <w:keepLines/>
              <w:spacing w:after="0"/>
              <w:ind w:left="0"/>
              <w:contextualSpacing/>
              <w:rPr>
                <w:b/>
                <w:bCs/>
                <w:sz w:val="18"/>
                <w:szCs w:val="18"/>
              </w:rPr>
            </w:pPr>
            <w:r w:rsidRPr="4C05CE54">
              <w:rPr>
                <w:b/>
                <w:bCs/>
                <w:sz w:val="18"/>
                <w:szCs w:val="18"/>
              </w:rPr>
              <w:t>Threshold</w:t>
            </w:r>
          </w:p>
        </w:tc>
        <w:tc>
          <w:tcPr>
            <w:tcW w:w="1617" w:type="dxa"/>
            <w:tcBorders>
              <w:top w:val="single" w:sz="4" w:space="0" w:color="auto"/>
              <w:bottom w:val="single" w:sz="4" w:space="0" w:color="auto"/>
            </w:tcBorders>
            <w:tcMar>
              <w:top w:w="30" w:type="dxa"/>
              <w:left w:w="45" w:type="dxa"/>
              <w:bottom w:w="30" w:type="dxa"/>
              <w:right w:w="45" w:type="dxa"/>
            </w:tcMar>
            <w:vAlign w:val="bottom"/>
            <w:hideMark/>
          </w:tcPr>
          <w:p w14:paraId="5EDA3621" w14:textId="77777777" w:rsidR="007D1780" w:rsidRPr="00C04482" w:rsidRDefault="007D1780" w:rsidP="00C44A2C">
            <w:pPr>
              <w:keepNext/>
              <w:keepLines/>
              <w:spacing w:after="0"/>
              <w:ind w:left="0"/>
              <w:contextualSpacing/>
              <w:rPr>
                <w:b/>
                <w:bCs/>
                <w:sz w:val="18"/>
                <w:szCs w:val="18"/>
              </w:rPr>
            </w:pPr>
            <w:r w:rsidRPr="4C05CE54">
              <w:rPr>
                <w:b/>
                <w:bCs/>
                <w:sz w:val="18"/>
                <w:szCs w:val="18"/>
              </w:rPr>
              <w:t>Time Frame</w:t>
            </w:r>
          </w:p>
        </w:tc>
        <w:tc>
          <w:tcPr>
            <w:tcW w:w="2239" w:type="dxa"/>
            <w:tcBorders>
              <w:top w:val="single" w:sz="4" w:space="0" w:color="auto"/>
              <w:bottom w:val="single" w:sz="4" w:space="0" w:color="auto"/>
            </w:tcBorders>
            <w:tcMar>
              <w:top w:w="30" w:type="dxa"/>
              <w:left w:w="45" w:type="dxa"/>
              <w:bottom w:w="30" w:type="dxa"/>
              <w:right w:w="45" w:type="dxa"/>
            </w:tcMar>
            <w:vAlign w:val="bottom"/>
            <w:hideMark/>
          </w:tcPr>
          <w:p w14:paraId="745B78E3" w14:textId="77777777" w:rsidR="007D1780" w:rsidRPr="00C04482" w:rsidRDefault="007D1780" w:rsidP="00C44A2C">
            <w:pPr>
              <w:keepNext/>
              <w:keepLines/>
              <w:spacing w:after="0"/>
              <w:ind w:left="0"/>
              <w:contextualSpacing/>
              <w:rPr>
                <w:b/>
                <w:bCs/>
                <w:sz w:val="18"/>
                <w:szCs w:val="18"/>
              </w:rPr>
            </w:pPr>
            <w:r w:rsidRPr="4C05CE54">
              <w:rPr>
                <w:b/>
                <w:bCs/>
                <w:sz w:val="18"/>
                <w:szCs w:val="18"/>
              </w:rPr>
              <w:t>Performance metric</w:t>
            </w:r>
          </w:p>
        </w:tc>
      </w:tr>
      <w:tr w:rsidR="007D1780" w:rsidRPr="00C04482" w14:paraId="376E279E" w14:textId="77777777" w:rsidTr="00C44A2C">
        <w:tc>
          <w:tcPr>
            <w:tcW w:w="1431" w:type="dxa"/>
            <w:vMerge w:val="restart"/>
            <w:tcBorders>
              <w:top w:val="single" w:sz="4" w:space="0" w:color="auto"/>
            </w:tcBorders>
            <w:tcMar>
              <w:top w:w="30" w:type="dxa"/>
              <w:left w:w="45" w:type="dxa"/>
              <w:bottom w:w="30" w:type="dxa"/>
              <w:right w:w="45" w:type="dxa"/>
            </w:tcMar>
            <w:vAlign w:val="center"/>
            <w:hideMark/>
          </w:tcPr>
          <w:p w14:paraId="5D314C6C" w14:textId="77777777" w:rsidR="007D1780" w:rsidRPr="00C04482" w:rsidRDefault="007D1780" w:rsidP="00C44A2C">
            <w:pPr>
              <w:keepNext/>
              <w:keepLines/>
              <w:ind w:left="0"/>
              <w:contextualSpacing/>
              <w:rPr>
                <w:b/>
                <w:bCs/>
                <w:sz w:val="18"/>
                <w:szCs w:val="18"/>
              </w:rPr>
            </w:pPr>
            <w:r w:rsidRPr="4D1978A2">
              <w:rPr>
                <w:sz w:val="18"/>
                <w:szCs w:val="18"/>
              </w:rPr>
              <w:t>There should be flexibility provided to avoid unnecessarily constraining the groundfish fishery particularly when halibut abundance is high</w:t>
            </w:r>
          </w:p>
        </w:tc>
        <w:tc>
          <w:tcPr>
            <w:tcW w:w="3143" w:type="dxa"/>
            <w:tcBorders>
              <w:top w:val="single" w:sz="4" w:space="0" w:color="auto"/>
            </w:tcBorders>
            <w:tcMar>
              <w:top w:w="30" w:type="dxa"/>
              <w:left w:w="45" w:type="dxa"/>
              <w:bottom w:w="30" w:type="dxa"/>
              <w:right w:w="45" w:type="dxa"/>
            </w:tcMar>
            <w:vAlign w:val="center"/>
            <w:hideMark/>
          </w:tcPr>
          <w:p w14:paraId="474DC571" w14:textId="77777777" w:rsidR="007D1780" w:rsidRPr="00C04482" w:rsidRDefault="007D1780" w:rsidP="00C44A2C">
            <w:pPr>
              <w:keepNext/>
              <w:keepLines/>
              <w:spacing w:after="0"/>
              <w:ind w:left="0"/>
              <w:contextualSpacing/>
              <w:rPr>
                <w:sz w:val="18"/>
                <w:szCs w:val="18"/>
              </w:rPr>
            </w:pPr>
            <w:r w:rsidRPr="4C05CE54">
              <w:rPr>
                <w:sz w:val="18"/>
                <w:szCs w:val="18"/>
              </w:rPr>
              <w:t>Average PSC limit</w:t>
            </w:r>
          </w:p>
        </w:tc>
        <w:tc>
          <w:tcPr>
            <w:tcW w:w="930" w:type="dxa"/>
            <w:tcBorders>
              <w:top w:val="single" w:sz="4" w:space="0" w:color="auto"/>
            </w:tcBorders>
            <w:tcMar>
              <w:top w:w="30" w:type="dxa"/>
              <w:left w:w="45" w:type="dxa"/>
              <w:bottom w:w="30" w:type="dxa"/>
              <w:right w:w="45" w:type="dxa"/>
            </w:tcMar>
            <w:vAlign w:val="center"/>
            <w:hideMark/>
          </w:tcPr>
          <w:p w14:paraId="0D9C63B5" w14:textId="77777777" w:rsidR="007D1780" w:rsidRPr="00C04482" w:rsidRDefault="007D1780" w:rsidP="00C44A2C">
            <w:pPr>
              <w:keepNext/>
              <w:keepLines/>
              <w:spacing w:after="0"/>
              <w:ind w:left="0"/>
              <w:contextualSpacing/>
              <w:rPr>
                <w:sz w:val="18"/>
                <w:szCs w:val="18"/>
              </w:rPr>
            </w:pPr>
            <w:r w:rsidRPr="4C05CE54">
              <w:rPr>
                <w:sz w:val="18"/>
                <w:szCs w:val="18"/>
              </w:rPr>
              <w:t>NA</w:t>
            </w:r>
          </w:p>
        </w:tc>
        <w:tc>
          <w:tcPr>
            <w:tcW w:w="1617" w:type="dxa"/>
            <w:tcBorders>
              <w:top w:val="single" w:sz="4" w:space="0" w:color="auto"/>
            </w:tcBorders>
            <w:tcMar>
              <w:top w:w="30" w:type="dxa"/>
              <w:left w:w="45" w:type="dxa"/>
              <w:bottom w:w="30" w:type="dxa"/>
              <w:right w:w="45" w:type="dxa"/>
            </w:tcMar>
            <w:vAlign w:val="center"/>
            <w:hideMark/>
          </w:tcPr>
          <w:p w14:paraId="43A9E08F"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top w:val="single" w:sz="4" w:space="0" w:color="auto"/>
            </w:tcBorders>
            <w:tcMar>
              <w:top w:w="30" w:type="dxa"/>
              <w:left w:w="45" w:type="dxa"/>
              <w:bottom w:w="30" w:type="dxa"/>
              <w:right w:w="45" w:type="dxa"/>
            </w:tcMar>
            <w:vAlign w:val="center"/>
            <w:hideMark/>
          </w:tcPr>
          <w:p w14:paraId="6718A490" w14:textId="77777777" w:rsidR="007D1780" w:rsidRPr="00C04482" w:rsidRDefault="007D1780" w:rsidP="00C44A2C">
            <w:pPr>
              <w:keepNext/>
              <w:keepLines/>
              <w:spacing w:after="0"/>
              <w:ind w:left="0"/>
              <w:contextualSpacing/>
              <w:rPr>
                <w:sz w:val="18"/>
                <w:szCs w:val="18"/>
              </w:rPr>
            </w:pPr>
            <w:r w:rsidRPr="4C05CE54">
              <w:rPr>
                <w:sz w:val="18"/>
                <w:szCs w:val="18"/>
              </w:rPr>
              <w:t>Average (PSC limit)</w:t>
            </w:r>
          </w:p>
        </w:tc>
      </w:tr>
      <w:tr w:rsidR="007D1780" w:rsidRPr="00C04482" w14:paraId="0E1B3B49" w14:textId="77777777" w:rsidTr="00C44A2C">
        <w:tc>
          <w:tcPr>
            <w:tcW w:w="1431" w:type="dxa"/>
            <w:vMerge/>
            <w:tcMar>
              <w:top w:w="30" w:type="dxa"/>
              <w:left w:w="45" w:type="dxa"/>
              <w:bottom w:w="30" w:type="dxa"/>
              <w:right w:w="45" w:type="dxa"/>
            </w:tcMar>
            <w:vAlign w:val="center"/>
            <w:hideMark/>
          </w:tcPr>
          <w:p w14:paraId="17F2A32E"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526AD9D3" w14:textId="77777777" w:rsidR="007D1780" w:rsidRPr="00C04482" w:rsidRDefault="007D1780" w:rsidP="00C44A2C">
            <w:pPr>
              <w:keepNext/>
              <w:keepLines/>
              <w:spacing w:after="0"/>
              <w:ind w:left="0"/>
              <w:contextualSpacing/>
              <w:rPr>
                <w:sz w:val="18"/>
                <w:szCs w:val="18"/>
              </w:rPr>
            </w:pPr>
            <w:r w:rsidRPr="4C05CE54">
              <w:rPr>
                <w:sz w:val="18"/>
                <w:szCs w:val="18"/>
              </w:rPr>
              <w:t>The PSC limit is below the 2016 PSC limit a certain percentage of time.</w:t>
            </w:r>
          </w:p>
        </w:tc>
        <w:tc>
          <w:tcPr>
            <w:tcW w:w="930" w:type="dxa"/>
            <w:tcMar>
              <w:top w:w="30" w:type="dxa"/>
              <w:left w:w="45" w:type="dxa"/>
              <w:bottom w:w="30" w:type="dxa"/>
              <w:right w:w="45" w:type="dxa"/>
            </w:tcMar>
            <w:vAlign w:val="center"/>
            <w:hideMark/>
          </w:tcPr>
          <w:p w14:paraId="683363BE" w14:textId="77777777" w:rsidR="007D1780" w:rsidRPr="00C04482" w:rsidRDefault="007D1780" w:rsidP="00C44A2C">
            <w:pPr>
              <w:keepNext/>
              <w:keepLines/>
              <w:spacing w:after="0"/>
              <w:ind w:left="0"/>
              <w:contextualSpacing/>
              <w:rPr>
                <w:sz w:val="18"/>
                <w:szCs w:val="18"/>
              </w:rPr>
            </w:pPr>
            <w:r w:rsidRPr="4C05CE54">
              <w:rPr>
                <w:sz w:val="18"/>
                <w:szCs w:val="18"/>
              </w:rPr>
              <w:t>3,515 t</w:t>
            </w:r>
          </w:p>
        </w:tc>
        <w:tc>
          <w:tcPr>
            <w:tcW w:w="1617" w:type="dxa"/>
            <w:tcMar>
              <w:top w:w="30" w:type="dxa"/>
              <w:left w:w="45" w:type="dxa"/>
              <w:bottom w:w="30" w:type="dxa"/>
              <w:right w:w="45" w:type="dxa"/>
            </w:tcMar>
            <w:vAlign w:val="center"/>
            <w:hideMark/>
          </w:tcPr>
          <w:p w14:paraId="1686660A"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hideMark/>
          </w:tcPr>
          <w:p w14:paraId="3D054455"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PSC limit &lt; 3</w:t>
            </w:r>
            <w:r>
              <w:rPr>
                <w:sz w:val="18"/>
                <w:szCs w:val="18"/>
              </w:rPr>
              <w:t>,</w:t>
            </w:r>
            <w:r w:rsidRPr="4C05CE54">
              <w:rPr>
                <w:sz w:val="18"/>
                <w:szCs w:val="18"/>
              </w:rPr>
              <w:t>515t)</w:t>
            </w:r>
          </w:p>
        </w:tc>
      </w:tr>
      <w:tr w:rsidR="007D1780" w:rsidRPr="00C04482" w14:paraId="201B1445" w14:textId="77777777" w:rsidTr="00C44A2C">
        <w:tc>
          <w:tcPr>
            <w:tcW w:w="1431" w:type="dxa"/>
            <w:vMerge/>
            <w:vAlign w:val="center"/>
            <w:hideMark/>
          </w:tcPr>
          <w:p w14:paraId="45BE2128"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2A0AD9DE" w14:textId="77777777" w:rsidR="007D1780" w:rsidRPr="00C04482" w:rsidRDefault="007D1780" w:rsidP="00C44A2C">
            <w:pPr>
              <w:keepNext/>
              <w:keepLines/>
              <w:spacing w:after="0"/>
              <w:ind w:left="0"/>
              <w:contextualSpacing/>
              <w:rPr>
                <w:sz w:val="18"/>
                <w:szCs w:val="18"/>
              </w:rPr>
            </w:pPr>
            <w:r w:rsidRPr="4C05CE54">
              <w:rPr>
                <w:sz w:val="18"/>
                <w:szCs w:val="18"/>
              </w:rPr>
              <w:t>The PSC limit is below the 2016 PSC catch a certain percentage of time.</w:t>
            </w:r>
          </w:p>
        </w:tc>
        <w:tc>
          <w:tcPr>
            <w:tcW w:w="930" w:type="dxa"/>
            <w:noWrap/>
            <w:tcMar>
              <w:top w:w="30" w:type="dxa"/>
              <w:left w:w="45" w:type="dxa"/>
              <w:bottom w:w="30" w:type="dxa"/>
              <w:right w:w="45" w:type="dxa"/>
            </w:tcMar>
            <w:vAlign w:val="center"/>
            <w:hideMark/>
          </w:tcPr>
          <w:p w14:paraId="7D54E76C" w14:textId="77777777" w:rsidR="007D1780" w:rsidRPr="00C04482" w:rsidRDefault="007D1780" w:rsidP="00C44A2C">
            <w:pPr>
              <w:keepNext/>
              <w:keepLines/>
              <w:spacing w:after="0"/>
              <w:ind w:left="0"/>
              <w:contextualSpacing/>
              <w:rPr>
                <w:sz w:val="18"/>
                <w:szCs w:val="18"/>
              </w:rPr>
            </w:pPr>
            <w:r w:rsidRPr="4C05CE54">
              <w:rPr>
                <w:sz w:val="18"/>
                <w:szCs w:val="18"/>
              </w:rPr>
              <w:t>2,337 t</w:t>
            </w:r>
          </w:p>
        </w:tc>
        <w:tc>
          <w:tcPr>
            <w:tcW w:w="1617" w:type="dxa"/>
            <w:tcMar>
              <w:top w:w="30" w:type="dxa"/>
              <w:left w:w="45" w:type="dxa"/>
              <w:bottom w:w="30" w:type="dxa"/>
              <w:right w:w="45" w:type="dxa"/>
            </w:tcMar>
            <w:vAlign w:val="center"/>
            <w:hideMark/>
          </w:tcPr>
          <w:p w14:paraId="3D3F08E7"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hideMark/>
          </w:tcPr>
          <w:p w14:paraId="36456AB3"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PSC limit &lt; 2</w:t>
            </w:r>
            <w:r>
              <w:rPr>
                <w:sz w:val="18"/>
                <w:szCs w:val="18"/>
              </w:rPr>
              <w:t>,</w:t>
            </w:r>
            <w:r w:rsidRPr="4C05CE54">
              <w:rPr>
                <w:sz w:val="18"/>
                <w:szCs w:val="18"/>
              </w:rPr>
              <w:t>337t)</w:t>
            </w:r>
          </w:p>
        </w:tc>
      </w:tr>
      <w:tr w:rsidR="007D1780" w:rsidRPr="00C04482" w14:paraId="6664EEFB" w14:textId="77777777" w:rsidTr="00C44A2C">
        <w:tc>
          <w:tcPr>
            <w:tcW w:w="1431" w:type="dxa"/>
            <w:vMerge/>
            <w:tcBorders>
              <w:bottom w:val="single" w:sz="4" w:space="0" w:color="auto"/>
            </w:tcBorders>
            <w:vAlign w:val="center"/>
            <w:hideMark/>
          </w:tcPr>
          <w:p w14:paraId="49E55A3B" w14:textId="77777777" w:rsidR="007D1780" w:rsidRPr="00C04482" w:rsidRDefault="007D1780" w:rsidP="00C44A2C">
            <w:pPr>
              <w:keepNext/>
              <w:keepLines/>
              <w:spacing w:after="0"/>
              <w:ind w:left="0"/>
              <w:contextualSpacing/>
              <w:rPr>
                <w:sz w:val="18"/>
              </w:rPr>
            </w:pPr>
          </w:p>
        </w:tc>
        <w:tc>
          <w:tcPr>
            <w:tcW w:w="3143" w:type="dxa"/>
            <w:tcBorders>
              <w:bottom w:val="single" w:sz="4" w:space="0" w:color="auto"/>
            </w:tcBorders>
            <w:tcMar>
              <w:top w:w="30" w:type="dxa"/>
              <w:left w:w="45" w:type="dxa"/>
              <w:bottom w:w="30" w:type="dxa"/>
              <w:right w:w="45" w:type="dxa"/>
            </w:tcMar>
            <w:vAlign w:val="center"/>
            <w:hideMark/>
          </w:tcPr>
          <w:p w14:paraId="7EC367FD" w14:textId="77777777" w:rsidR="007D1780" w:rsidRPr="00C04482" w:rsidRDefault="007D1780" w:rsidP="00C44A2C">
            <w:pPr>
              <w:keepNext/>
              <w:keepLines/>
              <w:spacing w:after="0"/>
              <w:ind w:left="0"/>
              <w:contextualSpacing/>
              <w:rPr>
                <w:sz w:val="18"/>
                <w:szCs w:val="18"/>
              </w:rPr>
            </w:pPr>
            <w:r w:rsidRPr="4C05CE54">
              <w:rPr>
                <w:sz w:val="18"/>
                <w:szCs w:val="18"/>
              </w:rPr>
              <w:t>Maintain CPUE above a minimum value to reach the TAC (</w:t>
            </w:r>
            <w:r>
              <w:rPr>
                <w:sz w:val="18"/>
                <w:szCs w:val="18"/>
              </w:rPr>
              <w:t>and below PSC</w:t>
            </w:r>
            <w:r w:rsidRPr="4C05CE54">
              <w:rPr>
                <w:sz w:val="18"/>
                <w:szCs w:val="18"/>
              </w:rPr>
              <w:t>)</w:t>
            </w:r>
          </w:p>
        </w:tc>
        <w:tc>
          <w:tcPr>
            <w:tcW w:w="930" w:type="dxa"/>
            <w:tcBorders>
              <w:bottom w:val="single" w:sz="4" w:space="0" w:color="auto"/>
            </w:tcBorders>
            <w:tcMar>
              <w:top w:w="30" w:type="dxa"/>
              <w:left w:w="45" w:type="dxa"/>
              <w:bottom w:w="30" w:type="dxa"/>
              <w:right w:w="45" w:type="dxa"/>
            </w:tcMar>
            <w:vAlign w:val="center"/>
            <w:hideMark/>
          </w:tcPr>
          <w:p w14:paraId="29795DF5" w14:textId="77777777" w:rsidR="007D1780" w:rsidRPr="00C04482" w:rsidRDefault="007D1780" w:rsidP="00C44A2C">
            <w:pPr>
              <w:keepNext/>
              <w:keepLines/>
              <w:spacing w:after="0"/>
              <w:ind w:left="0"/>
              <w:contextualSpacing/>
              <w:rPr>
                <w:sz w:val="18"/>
                <w:szCs w:val="20"/>
              </w:rPr>
            </w:pPr>
          </w:p>
        </w:tc>
        <w:tc>
          <w:tcPr>
            <w:tcW w:w="1617" w:type="dxa"/>
            <w:tcBorders>
              <w:bottom w:val="single" w:sz="4" w:space="0" w:color="auto"/>
            </w:tcBorders>
            <w:tcMar>
              <w:top w:w="30" w:type="dxa"/>
              <w:left w:w="45" w:type="dxa"/>
              <w:bottom w:w="30" w:type="dxa"/>
              <w:right w:w="45" w:type="dxa"/>
            </w:tcMar>
            <w:vAlign w:val="center"/>
            <w:hideMark/>
          </w:tcPr>
          <w:p w14:paraId="30163C06"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bottom w:val="single" w:sz="4" w:space="0" w:color="auto"/>
            </w:tcBorders>
            <w:tcMar>
              <w:top w:w="30" w:type="dxa"/>
              <w:left w:w="45" w:type="dxa"/>
              <w:bottom w:w="30" w:type="dxa"/>
              <w:right w:w="45" w:type="dxa"/>
            </w:tcMar>
            <w:vAlign w:val="center"/>
            <w:hideMark/>
          </w:tcPr>
          <w:p w14:paraId="6009789C"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CPUE &lt; ???)</w:t>
            </w:r>
          </w:p>
        </w:tc>
      </w:tr>
      <w:tr w:rsidR="007D1780" w:rsidRPr="00C04482" w14:paraId="0B9241E3" w14:textId="77777777" w:rsidTr="00C44A2C">
        <w:trPr>
          <w:trHeight w:val="898"/>
        </w:trPr>
        <w:tc>
          <w:tcPr>
            <w:tcW w:w="1431" w:type="dxa"/>
            <w:tcBorders>
              <w:top w:val="single" w:sz="4" w:space="0" w:color="auto"/>
            </w:tcBorders>
            <w:tcMar>
              <w:top w:w="30" w:type="dxa"/>
              <w:left w:w="45" w:type="dxa"/>
              <w:bottom w:w="30" w:type="dxa"/>
              <w:right w:w="45" w:type="dxa"/>
            </w:tcMar>
            <w:vAlign w:val="center"/>
            <w:hideMark/>
          </w:tcPr>
          <w:p w14:paraId="49310C1E" w14:textId="77777777" w:rsidR="007D1780" w:rsidRPr="00C04482" w:rsidRDefault="007D1780" w:rsidP="00C44A2C">
            <w:pPr>
              <w:keepNext/>
              <w:keepLines/>
              <w:spacing w:after="0"/>
              <w:ind w:left="0"/>
              <w:contextualSpacing/>
              <w:rPr>
                <w:sz w:val="18"/>
                <w:szCs w:val="18"/>
              </w:rPr>
            </w:pPr>
            <w:r w:rsidRPr="4C05CE54">
              <w:rPr>
                <w:sz w:val="18"/>
                <w:szCs w:val="18"/>
              </w:rPr>
              <w:t>Provide for some stability in PSC limits on an inter-annual basis.</w:t>
            </w:r>
          </w:p>
        </w:tc>
        <w:tc>
          <w:tcPr>
            <w:tcW w:w="3143" w:type="dxa"/>
            <w:tcBorders>
              <w:top w:val="single" w:sz="4" w:space="0" w:color="auto"/>
            </w:tcBorders>
            <w:tcMar>
              <w:top w:w="30" w:type="dxa"/>
              <w:left w:w="45" w:type="dxa"/>
              <w:bottom w:w="30" w:type="dxa"/>
              <w:right w:w="45" w:type="dxa"/>
            </w:tcMar>
            <w:vAlign w:val="center"/>
            <w:hideMark/>
          </w:tcPr>
          <w:p w14:paraId="79AABB2E" w14:textId="77777777" w:rsidR="007D1780" w:rsidRPr="00C04482" w:rsidRDefault="007D1780" w:rsidP="00C44A2C">
            <w:pPr>
              <w:keepNext/>
              <w:keepLines/>
              <w:spacing w:after="0"/>
              <w:ind w:left="0"/>
              <w:contextualSpacing/>
              <w:rPr>
                <w:sz w:val="18"/>
                <w:szCs w:val="18"/>
              </w:rPr>
            </w:pPr>
            <w:r w:rsidRPr="4C05CE54">
              <w:rPr>
                <w:sz w:val="18"/>
                <w:szCs w:val="18"/>
              </w:rPr>
              <w:t>Achieve a level of inter-annual variability in PSC levels that is below an acceptable level</w:t>
            </w:r>
          </w:p>
        </w:tc>
        <w:tc>
          <w:tcPr>
            <w:tcW w:w="930" w:type="dxa"/>
            <w:tcBorders>
              <w:top w:val="single" w:sz="4" w:space="0" w:color="auto"/>
            </w:tcBorders>
            <w:tcMar>
              <w:top w:w="30" w:type="dxa"/>
              <w:left w:w="45" w:type="dxa"/>
              <w:bottom w:w="30" w:type="dxa"/>
              <w:right w:w="45" w:type="dxa"/>
            </w:tcMar>
            <w:vAlign w:val="center"/>
            <w:hideMark/>
          </w:tcPr>
          <w:p w14:paraId="25DBBD36" w14:textId="77777777" w:rsidR="007D1780" w:rsidRPr="00C04482" w:rsidRDefault="007D1780" w:rsidP="00C44A2C">
            <w:pPr>
              <w:keepNext/>
              <w:keepLines/>
              <w:spacing w:after="0"/>
              <w:ind w:left="0"/>
              <w:contextualSpacing/>
              <w:rPr>
                <w:sz w:val="18"/>
                <w:szCs w:val="18"/>
              </w:rPr>
            </w:pPr>
            <w:r w:rsidRPr="4C05CE54">
              <w:rPr>
                <w:sz w:val="18"/>
                <w:szCs w:val="18"/>
              </w:rPr>
              <w:t>NA</w:t>
            </w:r>
          </w:p>
        </w:tc>
        <w:tc>
          <w:tcPr>
            <w:tcW w:w="1617" w:type="dxa"/>
            <w:tcBorders>
              <w:top w:val="single" w:sz="4" w:space="0" w:color="auto"/>
            </w:tcBorders>
            <w:tcMar>
              <w:top w:w="30" w:type="dxa"/>
              <w:left w:w="45" w:type="dxa"/>
              <w:bottom w:w="30" w:type="dxa"/>
              <w:right w:w="45" w:type="dxa"/>
            </w:tcMar>
            <w:vAlign w:val="center"/>
            <w:hideMark/>
          </w:tcPr>
          <w:p w14:paraId="79F690DD"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top w:val="single" w:sz="4" w:space="0" w:color="auto"/>
            </w:tcBorders>
            <w:tcMar>
              <w:top w:w="30" w:type="dxa"/>
              <w:left w:w="45" w:type="dxa"/>
              <w:bottom w:w="30" w:type="dxa"/>
              <w:right w:w="45" w:type="dxa"/>
            </w:tcMar>
            <w:vAlign w:val="center"/>
            <w:hideMark/>
          </w:tcPr>
          <w:p w14:paraId="03205CBC" w14:textId="77777777" w:rsidR="007D1780" w:rsidRPr="00C04482" w:rsidRDefault="007D1780" w:rsidP="00C44A2C">
            <w:pPr>
              <w:keepNext/>
              <w:keepLines/>
              <w:spacing w:after="0"/>
              <w:ind w:left="0"/>
              <w:contextualSpacing/>
              <w:rPr>
                <w:sz w:val="18"/>
                <w:szCs w:val="18"/>
              </w:rPr>
            </w:pPr>
            <w:r w:rsidRPr="4C05CE54">
              <w:rPr>
                <w:sz w:val="18"/>
                <w:szCs w:val="18"/>
              </w:rPr>
              <w:t>Average annual variation (AAV) in halibut PSC limit</w:t>
            </w:r>
            <w:r>
              <w:rPr>
                <w:sz w:val="18"/>
                <w:szCs w:val="18"/>
              </w:rPr>
              <w:br/>
            </w:r>
            <w:proofErr w:type="gramStart"/>
            <w:r w:rsidRPr="4C05CE54">
              <w:rPr>
                <w:sz w:val="18"/>
                <w:szCs w:val="18"/>
              </w:rPr>
              <w:t>P(</w:t>
            </w:r>
            <w:proofErr w:type="gramEnd"/>
            <w:r w:rsidRPr="4C05CE54">
              <w:rPr>
                <w:sz w:val="18"/>
                <w:szCs w:val="18"/>
              </w:rPr>
              <w:t>AAV &lt; ???%)</w:t>
            </w:r>
          </w:p>
        </w:tc>
      </w:tr>
      <w:tr w:rsidR="007D1780" w:rsidRPr="00C04482" w14:paraId="79AF32C9" w14:textId="77777777" w:rsidTr="00C44A2C">
        <w:tc>
          <w:tcPr>
            <w:tcW w:w="1431" w:type="dxa"/>
            <w:vMerge w:val="restart"/>
            <w:tcBorders>
              <w:top w:val="single" w:sz="4" w:space="0" w:color="auto"/>
            </w:tcBorders>
            <w:tcMar>
              <w:top w:w="30" w:type="dxa"/>
              <w:left w:w="45" w:type="dxa"/>
              <w:bottom w:w="30" w:type="dxa"/>
              <w:right w:w="45" w:type="dxa"/>
            </w:tcMar>
            <w:vAlign w:val="center"/>
            <w:hideMark/>
          </w:tcPr>
          <w:p w14:paraId="04F64DAE" w14:textId="77777777" w:rsidR="007D1780" w:rsidRPr="00C04482" w:rsidRDefault="007D1780" w:rsidP="00C44A2C">
            <w:pPr>
              <w:keepNext/>
              <w:keepLines/>
              <w:spacing w:after="0"/>
              <w:ind w:left="0"/>
              <w:contextualSpacing/>
              <w:rPr>
                <w:sz w:val="18"/>
                <w:szCs w:val="18"/>
              </w:rPr>
            </w:pPr>
            <w:r w:rsidRPr="4C05CE54">
              <w:rPr>
                <w:sz w:val="18"/>
                <w:szCs w:val="18"/>
              </w:rPr>
              <w:t>Halibut spawning stock biomass should be protected especially at lower levels of abundance</w:t>
            </w:r>
          </w:p>
        </w:tc>
        <w:tc>
          <w:tcPr>
            <w:tcW w:w="3143" w:type="dxa"/>
            <w:tcBorders>
              <w:top w:val="single" w:sz="4" w:space="0" w:color="auto"/>
            </w:tcBorders>
            <w:tcMar>
              <w:top w:w="30" w:type="dxa"/>
              <w:left w:w="45" w:type="dxa"/>
              <w:bottom w:w="30" w:type="dxa"/>
              <w:right w:w="45" w:type="dxa"/>
            </w:tcMar>
            <w:vAlign w:val="center"/>
            <w:hideMark/>
          </w:tcPr>
          <w:p w14:paraId="780EB6C2" w14:textId="77777777" w:rsidR="007D1780" w:rsidRPr="00C04482" w:rsidRDefault="007D1780" w:rsidP="00C44A2C">
            <w:pPr>
              <w:keepNext/>
              <w:keepLines/>
              <w:spacing w:after="0"/>
              <w:ind w:left="0"/>
              <w:contextualSpacing/>
              <w:rPr>
                <w:sz w:val="18"/>
                <w:szCs w:val="18"/>
              </w:rPr>
            </w:pPr>
            <w:r w:rsidRPr="4C05CE54">
              <w:rPr>
                <w:sz w:val="18"/>
                <w:szCs w:val="18"/>
              </w:rPr>
              <w:t>Measure the impact on spawning biomass</w:t>
            </w:r>
          </w:p>
        </w:tc>
        <w:tc>
          <w:tcPr>
            <w:tcW w:w="930" w:type="dxa"/>
            <w:tcBorders>
              <w:top w:val="single" w:sz="4" w:space="0" w:color="auto"/>
            </w:tcBorders>
            <w:tcMar>
              <w:top w:w="30" w:type="dxa"/>
              <w:left w:w="45" w:type="dxa"/>
              <w:bottom w:w="30" w:type="dxa"/>
              <w:right w:w="45" w:type="dxa"/>
            </w:tcMar>
            <w:vAlign w:val="center"/>
            <w:hideMark/>
          </w:tcPr>
          <w:p w14:paraId="67862803" w14:textId="77777777" w:rsidR="007D1780" w:rsidRPr="00C04482" w:rsidRDefault="007D1780" w:rsidP="00C44A2C">
            <w:pPr>
              <w:keepNext/>
              <w:keepLines/>
              <w:spacing w:after="0"/>
              <w:ind w:left="0"/>
              <w:contextualSpacing/>
              <w:rPr>
                <w:sz w:val="18"/>
                <w:szCs w:val="18"/>
              </w:rPr>
            </w:pPr>
            <w:r w:rsidRPr="4C05CE54">
              <w:rPr>
                <w:sz w:val="18"/>
                <w:szCs w:val="18"/>
              </w:rPr>
              <w:t>NA</w:t>
            </w:r>
          </w:p>
        </w:tc>
        <w:tc>
          <w:tcPr>
            <w:tcW w:w="1617" w:type="dxa"/>
            <w:tcBorders>
              <w:top w:val="single" w:sz="4" w:space="0" w:color="auto"/>
            </w:tcBorders>
            <w:tcMar>
              <w:top w:w="30" w:type="dxa"/>
              <w:left w:w="45" w:type="dxa"/>
              <w:bottom w:w="30" w:type="dxa"/>
              <w:right w:w="45" w:type="dxa"/>
            </w:tcMar>
            <w:vAlign w:val="center"/>
            <w:hideMark/>
          </w:tcPr>
          <w:p w14:paraId="20B9F7D9"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top w:val="single" w:sz="4" w:space="0" w:color="auto"/>
            </w:tcBorders>
            <w:tcMar>
              <w:top w:w="30" w:type="dxa"/>
              <w:left w:w="45" w:type="dxa"/>
              <w:bottom w:w="30" w:type="dxa"/>
              <w:right w:w="45" w:type="dxa"/>
            </w:tcMar>
            <w:vAlign w:val="center"/>
            <w:hideMark/>
          </w:tcPr>
          <w:p w14:paraId="196603DF" w14:textId="77777777" w:rsidR="007D1780" w:rsidRPr="00C04482" w:rsidRDefault="007D1780" w:rsidP="00C44A2C">
            <w:pPr>
              <w:keepNext/>
              <w:keepLines/>
              <w:spacing w:after="0"/>
              <w:ind w:left="0"/>
              <w:contextualSpacing/>
              <w:rPr>
                <w:sz w:val="18"/>
                <w:szCs w:val="18"/>
              </w:rPr>
            </w:pPr>
            <w:r w:rsidRPr="4C05CE54">
              <w:rPr>
                <w:sz w:val="18"/>
                <w:szCs w:val="18"/>
              </w:rPr>
              <w:t>Fishery-specific SPR</w:t>
            </w:r>
          </w:p>
        </w:tc>
      </w:tr>
      <w:tr w:rsidR="007D1780" w:rsidRPr="00C04482" w14:paraId="0DAC7AA2" w14:textId="77777777" w:rsidTr="00C44A2C">
        <w:tc>
          <w:tcPr>
            <w:tcW w:w="1431" w:type="dxa"/>
            <w:vMerge/>
            <w:vAlign w:val="center"/>
            <w:hideMark/>
          </w:tcPr>
          <w:p w14:paraId="513C52BD"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123EF11C" w14:textId="77777777" w:rsidR="007D1780" w:rsidRPr="00C04482" w:rsidRDefault="007D1780" w:rsidP="00C44A2C">
            <w:pPr>
              <w:keepNext/>
              <w:keepLines/>
              <w:spacing w:after="0"/>
              <w:ind w:left="0"/>
              <w:contextualSpacing/>
              <w:rPr>
                <w:sz w:val="18"/>
                <w:szCs w:val="18"/>
              </w:rPr>
            </w:pPr>
            <w:r w:rsidRPr="4C05CE54">
              <w:rPr>
                <w:sz w:val="18"/>
                <w:szCs w:val="18"/>
              </w:rPr>
              <w:t>Not allow the impact on the spawning biomass to exceed a specific level.</w:t>
            </w:r>
          </w:p>
        </w:tc>
        <w:tc>
          <w:tcPr>
            <w:tcW w:w="930" w:type="dxa"/>
            <w:tcMar>
              <w:top w:w="30" w:type="dxa"/>
              <w:left w:w="45" w:type="dxa"/>
              <w:bottom w:w="30" w:type="dxa"/>
              <w:right w:w="45" w:type="dxa"/>
            </w:tcMar>
            <w:vAlign w:val="center"/>
            <w:hideMark/>
          </w:tcPr>
          <w:p w14:paraId="13B4677D"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0AF2CF40"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hideMark/>
          </w:tcPr>
          <w:p w14:paraId="20057D81"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SPR &lt; ???)</w:t>
            </w:r>
          </w:p>
        </w:tc>
      </w:tr>
      <w:tr w:rsidR="007D1780" w:rsidRPr="00C04482" w14:paraId="7200DCE4" w14:textId="77777777" w:rsidTr="00C44A2C">
        <w:tc>
          <w:tcPr>
            <w:tcW w:w="1431" w:type="dxa"/>
            <w:vMerge/>
            <w:vAlign w:val="center"/>
            <w:hideMark/>
          </w:tcPr>
          <w:p w14:paraId="2CE9583E"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0EEB0FA1" w14:textId="77777777" w:rsidR="007D1780" w:rsidRPr="00C04482" w:rsidRDefault="007D1780" w:rsidP="00C44A2C">
            <w:pPr>
              <w:keepNext/>
              <w:keepLines/>
              <w:spacing w:after="0"/>
              <w:ind w:left="0"/>
              <w:contextualSpacing/>
              <w:rPr>
                <w:sz w:val="18"/>
                <w:szCs w:val="18"/>
              </w:rPr>
            </w:pPr>
            <w:r w:rsidRPr="4C05CE54">
              <w:rPr>
                <w:sz w:val="18"/>
                <w:szCs w:val="18"/>
              </w:rPr>
              <w:t>Maintain the spawning biomass above a value</w:t>
            </w:r>
          </w:p>
        </w:tc>
        <w:tc>
          <w:tcPr>
            <w:tcW w:w="930" w:type="dxa"/>
            <w:tcMar>
              <w:top w:w="30" w:type="dxa"/>
              <w:left w:w="45" w:type="dxa"/>
              <w:bottom w:w="30" w:type="dxa"/>
              <w:right w:w="45" w:type="dxa"/>
            </w:tcMar>
            <w:vAlign w:val="center"/>
            <w:hideMark/>
          </w:tcPr>
          <w:p w14:paraId="6AC34371"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5FFF297B"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hideMark/>
          </w:tcPr>
          <w:p w14:paraId="5AE72EF2"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SB &lt; ???)</w:t>
            </w:r>
          </w:p>
        </w:tc>
      </w:tr>
      <w:tr w:rsidR="007D1780" w:rsidRPr="00C04482" w14:paraId="711D18EF" w14:textId="77777777" w:rsidTr="00C44A2C">
        <w:tc>
          <w:tcPr>
            <w:tcW w:w="1431" w:type="dxa"/>
            <w:vMerge/>
            <w:vAlign w:val="center"/>
            <w:hideMark/>
          </w:tcPr>
          <w:p w14:paraId="26271502"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445DC312" w14:textId="77777777" w:rsidR="007D1780" w:rsidRPr="00C04482" w:rsidRDefault="007D1780" w:rsidP="00C44A2C">
            <w:pPr>
              <w:keepNext/>
              <w:keepLines/>
              <w:spacing w:after="0"/>
              <w:ind w:left="0"/>
              <w:contextualSpacing/>
              <w:rPr>
                <w:sz w:val="18"/>
                <w:szCs w:val="18"/>
              </w:rPr>
            </w:pPr>
            <w:r w:rsidRPr="4C05CE54">
              <w:rPr>
                <w:sz w:val="18"/>
                <w:szCs w:val="18"/>
              </w:rPr>
              <w:t>Maintain a diversity of sizes in the population.</w:t>
            </w:r>
          </w:p>
        </w:tc>
        <w:tc>
          <w:tcPr>
            <w:tcW w:w="930" w:type="dxa"/>
            <w:tcMar>
              <w:top w:w="30" w:type="dxa"/>
              <w:left w:w="45" w:type="dxa"/>
              <w:bottom w:w="30" w:type="dxa"/>
              <w:right w:w="45" w:type="dxa"/>
            </w:tcMar>
            <w:vAlign w:val="center"/>
            <w:hideMark/>
          </w:tcPr>
          <w:p w14:paraId="5C115F1B"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217A7949" w14:textId="77777777" w:rsidR="007D1780" w:rsidRPr="00C04482" w:rsidRDefault="007D1780" w:rsidP="00C44A2C">
            <w:pPr>
              <w:keepNext/>
              <w:keepLines/>
              <w:spacing w:after="0"/>
              <w:ind w:left="0"/>
              <w:contextualSpacing/>
              <w:rPr>
                <w:sz w:val="18"/>
                <w:szCs w:val="18"/>
              </w:rPr>
            </w:pPr>
            <w:r w:rsidRPr="4C05CE54">
              <w:rPr>
                <w:sz w:val="18"/>
                <w:szCs w:val="18"/>
              </w:rPr>
              <w:t>long-term</w:t>
            </w:r>
          </w:p>
        </w:tc>
        <w:tc>
          <w:tcPr>
            <w:tcW w:w="2239" w:type="dxa"/>
            <w:tcMar>
              <w:top w:w="30" w:type="dxa"/>
              <w:left w:w="45" w:type="dxa"/>
              <w:bottom w:w="30" w:type="dxa"/>
              <w:right w:w="45" w:type="dxa"/>
            </w:tcMar>
            <w:vAlign w:val="center"/>
            <w:hideMark/>
          </w:tcPr>
          <w:p w14:paraId="728B9D43" w14:textId="77777777" w:rsidR="007D1780" w:rsidRPr="00C04482" w:rsidRDefault="007D1780" w:rsidP="00C44A2C">
            <w:pPr>
              <w:keepNext/>
              <w:keepLines/>
              <w:spacing w:after="0"/>
              <w:ind w:left="0"/>
              <w:contextualSpacing/>
              <w:rPr>
                <w:sz w:val="18"/>
                <w:szCs w:val="20"/>
              </w:rPr>
            </w:pPr>
          </w:p>
        </w:tc>
      </w:tr>
      <w:tr w:rsidR="007D1780" w:rsidRPr="00C04482" w14:paraId="0C2BDA00" w14:textId="77777777" w:rsidTr="00C44A2C">
        <w:tc>
          <w:tcPr>
            <w:tcW w:w="1431" w:type="dxa"/>
            <w:vMerge/>
            <w:tcBorders>
              <w:bottom w:val="single" w:sz="4" w:space="0" w:color="auto"/>
            </w:tcBorders>
            <w:vAlign w:val="center"/>
            <w:hideMark/>
          </w:tcPr>
          <w:p w14:paraId="045283EF" w14:textId="77777777" w:rsidR="007D1780" w:rsidRPr="00C04482" w:rsidRDefault="007D1780" w:rsidP="00C44A2C">
            <w:pPr>
              <w:keepNext/>
              <w:keepLines/>
              <w:spacing w:after="0"/>
              <w:ind w:left="0"/>
              <w:contextualSpacing/>
              <w:rPr>
                <w:sz w:val="18"/>
              </w:rPr>
            </w:pPr>
          </w:p>
        </w:tc>
        <w:tc>
          <w:tcPr>
            <w:tcW w:w="3143" w:type="dxa"/>
            <w:tcBorders>
              <w:bottom w:val="single" w:sz="4" w:space="0" w:color="auto"/>
            </w:tcBorders>
            <w:tcMar>
              <w:top w:w="30" w:type="dxa"/>
              <w:left w:w="45" w:type="dxa"/>
              <w:bottom w:w="30" w:type="dxa"/>
              <w:right w:w="45" w:type="dxa"/>
            </w:tcMar>
            <w:vAlign w:val="center"/>
            <w:hideMark/>
          </w:tcPr>
          <w:p w14:paraId="6C9C2C15" w14:textId="77777777" w:rsidR="007D1780" w:rsidRPr="00C04482" w:rsidRDefault="007D1780" w:rsidP="00C44A2C">
            <w:pPr>
              <w:keepNext/>
              <w:keepLines/>
              <w:spacing w:after="0"/>
              <w:ind w:left="0"/>
              <w:contextualSpacing/>
              <w:rPr>
                <w:sz w:val="18"/>
                <w:szCs w:val="18"/>
              </w:rPr>
            </w:pPr>
            <w:r w:rsidRPr="4C05CE54">
              <w:rPr>
                <w:sz w:val="18"/>
                <w:szCs w:val="18"/>
              </w:rPr>
              <w:t>Maintain the spawning biomass above critical levels</w:t>
            </w:r>
          </w:p>
        </w:tc>
        <w:tc>
          <w:tcPr>
            <w:tcW w:w="930" w:type="dxa"/>
            <w:tcBorders>
              <w:bottom w:val="single" w:sz="4" w:space="0" w:color="auto"/>
            </w:tcBorders>
            <w:tcMar>
              <w:top w:w="30" w:type="dxa"/>
              <w:left w:w="45" w:type="dxa"/>
              <w:bottom w:w="30" w:type="dxa"/>
              <w:right w:w="45" w:type="dxa"/>
            </w:tcMar>
            <w:vAlign w:val="center"/>
            <w:hideMark/>
          </w:tcPr>
          <w:p w14:paraId="3E540DAD" w14:textId="77777777" w:rsidR="007D1780" w:rsidRPr="00C04482" w:rsidRDefault="007D1780" w:rsidP="00C44A2C">
            <w:pPr>
              <w:keepNext/>
              <w:keepLines/>
              <w:spacing w:after="0"/>
              <w:ind w:left="0"/>
              <w:contextualSpacing/>
              <w:rPr>
                <w:sz w:val="18"/>
                <w:szCs w:val="18"/>
              </w:rPr>
            </w:pPr>
            <w:r w:rsidRPr="4D1978A2">
              <w:rPr>
                <w:sz w:val="18"/>
                <w:szCs w:val="18"/>
              </w:rPr>
              <w:t xml:space="preserve">20% </w:t>
            </w:r>
            <w:r>
              <w:t xml:space="preserve">of </w:t>
            </w:r>
            <w:r w:rsidRPr="4D1978A2">
              <w:rPr>
                <w:sz w:val="18"/>
                <w:szCs w:val="18"/>
              </w:rPr>
              <w:t>equil</w:t>
            </w:r>
            <w:r>
              <w:rPr>
                <w:sz w:val="18"/>
                <w:szCs w:val="18"/>
              </w:rPr>
              <w:t>ibrium</w:t>
            </w:r>
          </w:p>
        </w:tc>
        <w:tc>
          <w:tcPr>
            <w:tcW w:w="1617" w:type="dxa"/>
            <w:tcBorders>
              <w:bottom w:val="single" w:sz="4" w:space="0" w:color="auto"/>
            </w:tcBorders>
            <w:tcMar>
              <w:top w:w="30" w:type="dxa"/>
              <w:left w:w="45" w:type="dxa"/>
              <w:bottom w:w="30" w:type="dxa"/>
              <w:right w:w="45" w:type="dxa"/>
            </w:tcMar>
            <w:vAlign w:val="center"/>
            <w:hideMark/>
          </w:tcPr>
          <w:p w14:paraId="399D7CFD"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bottom w:val="single" w:sz="4" w:space="0" w:color="auto"/>
            </w:tcBorders>
            <w:tcMar>
              <w:top w:w="30" w:type="dxa"/>
              <w:left w:w="45" w:type="dxa"/>
              <w:bottom w:w="30" w:type="dxa"/>
              <w:right w:w="45" w:type="dxa"/>
            </w:tcMar>
            <w:vAlign w:val="center"/>
            <w:hideMark/>
          </w:tcPr>
          <w:p w14:paraId="69D0D943"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SB &lt; 20%)</w:t>
            </w:r>
          </w:p>
        </w:tc>
      </w:tr>
      <w:tr w:rsidR="007D1780" w:rsidRPr="00C04482" w14:paraId="54F44164" w14:textId="77777777" w:rsidTr="00C44A2C">
        <w:tc>
          <w:tcPr>
            <w:tcW w:w="1431" w:type="dxa"/>
            <w:vMerge w:val="restart"/>
            <w:tcBorders>
              <w:top w:val="single" w:sz="4" w:space="0" w:color="auto"/>
            </w:tcBorders>
            <w:tcMar>
              <w:top w:w="30" w:type="dxa"/>
              <w:left w:w="45" w:type="dxa"/>
              <w:bottom w:w="30" w:type="dxa"/>
              <w:right w:w="45" w:type="dxa"/>
            </w:tcMar>
            <w:vAlign w:val="center"/>
            <w:hideMark/>
          </w:tcPr>
          <w:p w14:paraId="0956F2BE" w14:textId="77777777" w:rsidR="007D1780" w:rsidRPr="00C04482" w:rsidRDefault="007D1780" w:rsidP="00C44A2C">
            <w:pPr>
              <w:keepNext/>
              <w:keepLines/>
              <w:spacing w:after="0"/>
              <w:ind w:left="0"/>
              <w:contextualSpacing/>
              <w:rPr>
                <w:sz w:val="18"/>
                <w:szCs w:val="18"/>
              </w:rPr>
            </w:pPr>
            <w:r w:rsidRPr="4C05CE54">
              <w:rPr>
                <w:sz w:val="18"/>
                <w:szCs w:val="18"/>
              </w:rPr>
              <w:t>Provide for directed halibut fishing operations [in the Bering Sea].</w:t>
            </w:r>
          </w:p>
        </w:tc>
        <w:tc>
          <w:tcPr>
            <w:tcW w:w="3143" w:type="dxa"/>
            <w:tcBorders>
              <w:top w:val="single" w:sz="4" w:space="0" w:color="auto"/>
            </w:tcBorders>
            <w:tcMar>
              <w:top w:w="30" w:type="dxa"/>
              <w:left w:w="45" w:type="dxa"/>
              <w:bottom w:w="30" w:type="dxa"/>
              <w:right w:w="45" w:type="dxa"/>
            </w:tcMar>
            <w:vAlign w:val="center"/>
          </w:tcPr>
          <w:p w14:paraId="67AB1419" w14:textId="77777777" w:rsidR="007D1780" w:rsidRPr="006F74CA" w:rsidRDefault="007D1780" w:rsidP="00C44A2C">
            <w:pPr>
              <w:keepNext/>
              <w:keepLines/>
              <w:spacing w:after="0"/>
              <w:ind w:left="0"/>
              <w:contextualSpacing/>
              <w:rPr>
                <w:i/>
                <w:iCs/>
                <w:sz w:val="18"/>
                <w:szCs w:val="18"/>
              </w:rPr>
            </w:pPr>
            <w:r w:rsidRPr="4C05CE54">
              <w:rPr>
                <w:sz w:val="18"/>
                <w:szCs w:val="18"/>
              </w:rPr>
              <w:t>A minimum FCEY in 4CDE</w:t>
            </w:r>
          </w:p>
        </w:tc>
        <w:tc>
          <w:tcPr>
            <w:tcW w:w="930" w:type="dxa"/>
            <w:tcBorders>
              <w:top w:val="single" w:sz="4" w:space="0" w:color="auto"/>
            </w:tcBorders>
            <w:vAlign w:val="center"/>
          </w:tcPr>
          <w:p w14:paraId="292F0250" w14:textId="77777777" w:rsidR="007D1780" w:rsidRPr="006F74CA" w:rsidRDefault="007D1780" w:rsidP="00C44A2C">
            <w:pPr>
              <w:keepNext/>
              <w:keepLines/>
              <w:spacing w:after="0"/>
              <w:ind w:left="0"/>
              <w:contextualSpacing/>
              <w:rPr>
                <w:bCs/>
                <w:i/>
                <w:iCs/>
                <w:sz w:val="18"/>
                <w:szCs w:val="20"/>
              </w:rPr>
            </w:pPr>
          </w:p>
        </w:tc>
        <w:tc>
          <w:tcPr>
            <w:tcW w:w="1617" w:type="dxa"/>
            <w:tcBorders>
              <w:top w:val="single" w:sz="4" w:space="0" w:color="auto"/>
            </w:tcBorders>
            <w:vAlign w:val="center"/>
          </w:tcPr>
          <w:p w14:paraId="0B787AE0" w14:textId="77777777" w:rsidR="007D1780" w:rsidRPr="006F74CA" w:rsidRDefault="007D1780" w:rsidP="00C44A2C">
            <w:pPr>
              <w:keepNext/>
              <w:keepLines/>
              <w:spacing w:after="0"/>
              <w:ind w:left="0"/>
              <w:contextualSpacing/>
              <w:rPr>
                <w:bCs/>
                <w:i/>
                <w:iCs/>
                <w:sz w:val="18"/>
                <w:szCs w:val="20"/>
              </w:rPr>
            </w:pPr>
          </w:p>
        </w:tc>
        <w:tc>
          <w:tcPr>
            <w:tcW w:w="2239" w:type="dxa"/>
            <w:tcBorders>
              <w:top w:val="single" w:sz="4" w:space="0" w:color="auto"/>
            </w:tcBorders>
            <w:vAlign w:val="center"/>
          </w:tcPr>
          <w:p w14:paraId="280EA59D" w14:textId="77777777" w:rsidR="007D1780" w:rsidRPr="006F74CA" w:rsidRDefault="007D1780" w:rsidP="00C44A2C">
            <w:pPr>
              <w:keepNext/>
              <w:keepLines/>
              <w:spacing w:after="0"/>
              <w:ind w:left="0"/>
              <w:contextualSpacing/>
              <w:rPr>
                <w:bCs/>
                <w:i/>
                <w:iCs/>
                <w:sz w:val="18"/>
                <w:szCs w:val="20"/>
              </w:rPr>
            </w:pPr>
            <w:proofErr w:type="gramStart"/>
            <w:r w:rsidRPr="4C05CE54">
              <w:rPr>
                <w:sz w:val="18"/>
                <w:szCs w:val="18"/>
              </w:rPr>
              <w:t>P(</w:t>
            </w:r>
            <w:proofErr w:type="gramEnd"/>
            <w:r w:rsidRPr="4C05CE54">
              <w:rPr>
                <w:sz w:val="18"/>
                <w:szCs w:val="18"/>
              </w:rPr>
              <w:t>FCEY &lt; ???)</w:t>
            </w:r>
          </w:p>
        </w:tc>
      </w:tr>
      <w:tr w:rsidR="007D1780" w:rsidRPr="00C04482" w14:paraId="3DBFE524" w14:textId="77777777" w:rsidTr="00C44A2C">
        <w:tc>
          <w:tcPr>
            <w:tcW w:w="1431" w:type="dxa"/>
            <w:vMerge/>
            <w:vAlign w:val="center"/>
            <w:hideMark/>
          </w:tcPr>
          <w:p w14:paraId="397D6C80"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1BB835CE" w14:textId="77777777" w:rsidR="007D1780" w:rsidRPr="00C04482" w:rsidRDefault="007D1780" w:rsidP="00C44A2C">
            <w:pPr>
              <w:keepNext/>
              <w:keepLines/>
              <w:spacing w:after="0"/>
              <w:ind w:left="0"/>
              <w:contextualSpacing/>
              <w:rPr>
                <w:sz w:val="18"/>
                <w:szCs w:val="18"/>
              </w:rPr>
            </w:pPr>
            <w:r w:rsidRPr="4C05CE54">
              <w:rPr>
                <w:sz w:val="18"/>
                <w:szCs w:val="18"/>
              </w:rPr>
              <w:t>A target FCEY in 4CDE</w:t>
            </w:r>
          </w:p>
        </w:tc>
        <w:tc>
          <w:tcPr>
            <w:tcW w:w="930" w:type="dxa"/>
            <w:tcMar>
              <w:top w:w="30" w:type="dxa"/>
              <w:left w:w="45" w:type="dxa"/>
              <w:bottom w:w="30" w:type="dxa"/>
              <w:right w:w="45" w:type="dxa"/>
            </w:tcMar>
            <w:vAlign w:val="center"/>
            <w:hideMark/>
          </w:tcPr>
          <w:p w14:paraId="04F4E85F"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42833165"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tcPr>
          <w:p w14:paraId="3E0AC1F7"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FCEY &lt; ???)</w:t>
            </w:r>
          </w:p>
        </w:tc>
      </w:tr>
      <w:tr w:rsidR="007D1780" w:rsidRPr="00C04482" w14:paraId="33D47454" w14:textId="77777777" w:rsidTr="00C44A2C">
        <w:trPr>
          <w:trHeight w:val="621"/>
        </w:trPr>
        <w:tc>
          <w:tcPr>
            <w:tcW w:w="1431" w:type="dxa"/>
            <w:vMerge/>
            <w:vAlign w:val="center"/>
            <w:hideMark/>
          </w:tcPr>
          <w:p w14:paraId="05C669B4"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hideMark/>
          </w:tcPr>
          <w:p w14:paraId="27D1C6C7" w14:textId="77777777" w:rsidR="007D1780" w:rsidRPr="00C04482" w:rsidRDefault="007D1780" w:rsidP="00C44A2C">
            <w:pPr>
              <w:keepNext/>
              <w:keepLines/>
              <w:spacing w:after="0"/>
              <w:ind w:left="0"/>
              <w:contextualSpacing/>
              <w:rPr>
                <w:sz w:val="18"/>
                <w:szCs w:val="18"/>
              </w:rPr>
            </w:pPr>
            <w:r w:rsidRPr="4C05CE54">
              <w:rPr>
                <w:sz w:val="18"/>
                <w:szCs w:val="18"/>
              </w:rPr>
              <w:t>The proportion of the directed fishery catch limit is greater than X% of the total catch limit (floor and ceiling?)</w:t>
            </w:r>
          </w:p>
        </w:tc>
        <w:tc>
          <w:tcPr>
            <w:tcW w:w="930" w:type="dxa"/>
            <w:tcMar>
              <w:top w:w="30" w:type="dxa"/>
              <w:left w:w="45" w:type="dxa"/>
              <w:bottom w:w="30" w:type="dxa"/>
              <w:right w:w="45" w:type="dxa"/>
            </w:tcMar>
            <w:vAlign w:val="center"/>
            <w:hideMark/>
          </w:tcPr>
          <w:p w14:paraId="35C39676"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2B70025D"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tcPr>
          <w:p w14:paraId="031766EE" w14:textId="77777777" w:rsidR="007D1780" w:rsidRPr="00C04482" w:rsidRDefault="007D1780" w:rsidP="00C44A2C">
            <w:pPr>
              <w:keepNext/>
              <w:keepLines/>
              <w:spacing w:after="0"/>
              <w:ind w:left="0"/>
              <w:contextualSpacing/>
              <w:rPr>
                <w:sz w:val="18"/>
                <w:szCs w:val="18"/>
              </w:rPr>
            </w:pPr>
            <w:r w:rsidRPr="4C05CE54">
              <w:rPr>
                <w:sz w:val="18"/>
                <w:szCs w:val="18"/>
              </w:rPr>
              <w:t xml:space="preserve"> </w:t>
            </w:r>
            <w:proofErr w:type="gramStart"/>
            <w:r w:rsidRPr="4C05CE54">
              <w:rPr>
                <w:sz w:val="18"/>
                <w:szCs w:val="18"/>
              </w:rPr>
              <w:t>P(</w:t>
            </w:r>
            <w:proofErr w:type="gramEnd"/>
            <w:r w:rsidRPr="4C05CE54">
              <w:rPr>
                <w:sz w:val="18"/>
                <w:szCs w:val="18"/>
              </w:rPr>
              <w:t>FCEY/TCEY &lt; ???)</w:t>
            </w:r>
          </w:p>
        </w:tc>
      </w:tr>
      <w:tr w:rsidR="007D1780" w:rsidRPr="00C04482" w14:paraId="72F0AA01" w14:textId="77777777" w:rsidTr="00C44A2C">
        <w:tc>
          <w:tcPr>
            <w:tcW w:w="1431" w:type="dxa"/>
            <w:vMerge w:val="restart"/>
            <w:tcBorders>
              <w:top w:val="single" w:sz="4" w:space="0" w:color="auto"/>
            </w:tcBorders>
            <w:tcMar>
              <w:top w:w="30" w:type="dxa"/>
              <w:left w:w="45" w:type="dxa"/>
              <w:bottom w:w="30" w:type="dxa"/>
              <w:right w:w="45" w:type="dxa"/>
            </w:tcMar>
            <w:vAlign w:val="center"/>
            <w:hideMark/>
          </w:tcPr>
          <w:p w14:paraId="787F9960" w14:textId="77777777" w:rsidR="007D1780" w:rsidRPr="00C04482" w:rsidRDefault="007D1780" w:rsidP="00C44A2C">
            <w:pPr>
              <w:keepNext/>
              <w:keepLines/>
              <w:spacing w:after="0"/>
              <w:ind w:left="0"/>
              <w:contextualSpacing/>
              <w:rPr>
                <w:sz w:val="18"/>
                <w:szCs w:val="18"/>
              </w:rPr>
            </w:pPr>
            <w:r w:rsidRPr="4C05CE54">
              <w:rPr>
                <w:sz w:val="18"/>
                <w:szCs w:val="18"/>
              </w:rPr>
              <w:t>Halibut PSC limits should be indexed to halibut abundance</w:t>
            </w:r>
          </w:p>
        </w:tc>
        <w:tc>
          <w:tcPr>
            <w:tcW w:w="3143" w:type="dxa"/>
            <w:tcBorders>
              <w:top w:val="single" w:sz="4" w:space="0" w:color="auto"/>
            </w:tcBorders>
            <w:tcMar>
              <w:top w:w="30" w:type="dxa"/>
              <w:left w:w="45" w:type="dxa"/>
              <w:bottom w:w="30" w:type="dxa"/>
              <w:right w:w="45" w:type="dxa"/>
            </w:tcMar>
            <w:vAlign w:val="center"/>
          </w:tcPr>
          <w:p w14:paraId="522BE711" w14:textId="77777777" w:rsidR="007D1780" w:rsidRPr="00C04482" w:rsidRDefault="007D1780" w:rsidP="00C44A2C">
            <w:pPr>
              <w:keepNext/>
              <w:keepLines/>
              <w:spacing w:after="0"/>
              <w:ind w:left="0"/>
              <w:contextualSpacing/>
              <w:rPr>
                <w:sz w:val="18"/>
                <w:szCs w:val="18"/>
              </w:rPr>
            </w:pPr>
            <w:r w:rsidRPr="4C05CE54">
              <w:rPr>
                <w:sz w:val="18"/>
                <w:szCs w:val="18"/>
              </w:rPr>
              <w:t>The change in PSC limit has a minimum level of variation relative to the indices</w:t>
            </w:r>
          </w:p>
        </w:tc>
        <w:tc>
          <w:tcPr>
            <w:tcW w:w="930" w:type="dxa"/>
            <w:tcBorders>
              <w:top w:val="single" w:sz="4" w:space="0" w:color="auto"/>
            </w:tcBorders>
            <w:tcMar>
              <w:top w:w="30" w:type="dxa"/>
              <w:left w:w="45" w:type="dxa"/>
              <w:bottom w:w="30" w:type="dxa"/>
              <w:right w:w="45" w:type="dxa"/>
            </w:tcMar>
            <w:vAlign w:val="center"/>
            <w:hideMark/>
          </w:tcPr>
          <w:p w14:paraId="794C664B" w14:textId="77777777" w:rsidR="007D1780" w:rsidRPr="00C04482" w:rsidRDefault="007D1780" w:rsidP="00C44A2C">
            <w:pPr>
              <w:keepNext/>
              <w:keepLines/>
              <w:spacing w:after="0"/>
              <w:ind w:left="0"/>
              <w:contextualSpacing/>
              <w:rPr>
                <w:sz w:val="18"/>
                <w:szCs w:val="20"/>
              </w:rPr>
            </w:pPr>
          </w:p>
        </w:tc>
        <w:tc>
          <w:tcPr>
            <w:tcW w:w="1617" w:type="dxa"/>
            <w:tcBorders>
              <w:top w:val="single" w:sz="4" w:space="0" w:color="auto"/>
            </w:tcBorders>
            <w:tcMar>
              <w:top w:w="30" w:type="dxa"/>
              <w:left w:w="45" w:type="dxa"/>
              <w:bottom w:w="30" w:type="dxa"/>
              <w:right w:w="45" w:type="dxa"/>
            </w:tcMar>
            <w:vAlign w:val="center"/>
            <w:hideMark/>
          </w:tcPr>
          <w:p w14:paraId="02FD3367" w14:textId="77777777" w:rsidR="007D1780" w:rsidRPr="00C04482" w:rsidRDefault="007D1780" w:rsidP="00C44A2C">
            <w:pPr>
              <w:keepNext/>
              <w:keepLines/>
              <w:spacing w:after="0"/>
              <w:ind w:left="0"/>
              <w:contextualSpacing/>
              <w:rPr>
                <w:sz w:val="18"/>
                <w:szCs w:val="18"/>
              </w:rPr>
            </w:pPr>
            <w:r w:rsidRPr="4C05CE54">
              <w:rPr>
                <w:sz w:val="18"/>
                <w:szCs w:val="18"/>
              </w:rPr>
              <w:t>General</w:t>
            </w:r>
          </w:p>
        </w:tc>
        <w:tc>
          <w:tcPr>
            <w:tcW w:w="2239" w:type="dxa"/>
            <w:tcBorders>
              <w:top w:val="single" w:sz="4" w:space="0" w:color="auto"/>
            </w:tcBorders>
            <w:tcMar>
              <w:top w:w="30" w:type="dxa"/>
              <w:left w:w="45" w:type="dxa"/>
              <w:bottom w:w="30" w:type="dxa"/>
              <w:right w:w="45" w:type="dxa"/>
            </w:tcMar>
            <w:vAlign w:val="center"/>
            <w:hideMark/>
          </w:tcPr>
          <w:p w14:paraId="46A9961D" w14:textId="77777777" w:rsidR="007D1780" w:rsidRPr="00C04482" w:rsidRDefault="007D1780" w:rsidP="00C44A2C">
            <w:pPr>
              <w:keepNext/>
              <w:keepLines/>
              <w:spacing w:after="0"/>
              <w:ind w:left="0"/>
              <w:contextualSpacing/>
              <w:rPr>
                <w:sz w:val="18"/>
                <w:szCs w:val="18"/>
              </w:rPr>
            </w:pPr>
            <w:r w:rsidRPr="4C05CE54">
              <w:rPr>
                <w:sz w:val="18"/>
                <w:szCs w:val="18"/>
              </w:rPr>
              <w:t>Slope (b) of combined control rule &gt; ???</w:t>
            </w:r>
          </w:p>
        </w:tc>
      </w:tr>
      <w:tr w:rsidR="007D1780" w:rsidRPr="00C04482" w14:paraId="0B40B0C6" w14:textId="77777777" w:rsidTr="00C44A2C">
        <w:tc>
          <w:tcPr>
            <w:tcW w:w="1431" w:type="dxa"/>
            <w:vMerge/>
            <w:hideMark/>
          </w:tcPr>
          <w:p w14:paraId="15B6E68C"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tcPr>
          <w:p w14:paraId="24B737D7" w14:textId="77777777" w:rsidR="007D1780" w:rsidRPr="00C04482" w:rsidRDefault="007D1780" w:rsidP="00C44A2C">
            <w:pPr>
              <w:keepNext/>
              <w:keepLines/>
              <w:spacing w:after="0"/>
              <w:ind w:left="0"/>
              <w:contextualSpacing/>
              <w:rPr>
                <w:sz w:val="18"/>
                <w:szCs w:val="18"/>
              </w:rPr>
            </w:pPr>
            <w:r w:rsidRPr="4C05CE54">
              <w:rPr>
                <w:sz w:val="18"/>
                <w:szCs w:val="18"/>
              </w:rPr>
              <w:t>The range of the index for which a minimum level of variation is achieved.</w:t>
            </w:r>
          </w:p>
        </w:tc>
        <w:tc>
          <w:tcPr>
            <w:tcW w:w="930" w:type="dxa"/>
            <w:tcMar>
              <w:top w:w="30" w:type="dxa"/>
              <w:left w:w="45" w:type="dxa"/>
              <w:bottom w:w="30" w:type="dxa"/>
              <w:right w:w="45" w:type="dxa"/>
            </w:tcMar>
            <w:vAlign w:val="center"/>
            <w:hideMark/>
          </w:tcPr>
          <w:p w14:paraId="23E608AD"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hideMark/>
          </w:tcPr>
          <w:p w14:paraId="4AE798F5"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hideMark/>
          </w:tcPr>
          <w:p w14:paraId="31E3CD1D" w14:textId="77777777" w:rsidR="007D1780" w:rsidRPr="00C04482" w:rsidRDefault="007D1780" w:rsidP="00C44A2C">
            <w:pPr>
              <w:keepNext/>
              <w:keepLines/>
              <w:spacing w:after="0"/>
              <w:ind w:left="0"/>
              <w:contextualSpacing/>
              <w:rPr>
                <w:sz w:val="18"/>
                <w:szCs w:val="18"/>
              </w:rPr>
            </w:pPr>
            <w:proofErr w:type="gramStart"/>
            <w:r w:rsidRPr="4C05CE54">
              <w:rPr>
                <w:sz w:val="18"/>
                <w:szCs w:val="18"/>
              </w:rPr>
              <w:t>P(</w:t>
            </w:r>
            <w:proofErr w:type="gramEnd"/>
            <w:r w:rsidRPr="4C05CE54">
              <w:rPr>
                <w:sz w:val="18"/>
                <w:szCs w:val="18"/>
              </w:rPr>
              <w:t>floor used)</w:t>
            </w:r>
            <w:r>
              <w:br/>
            </w:r>
            <w:r w:rsidRPr="4C05CE54">
              <w:rPr>
                <w:sz w:val="18"/>
                <w:szCs w:val="18"/>
              </w:rPr>
              <w:t>P(ceiling used)</w:t>
            </w:r>
          </w:p>
        </w:tc>
      </w:tr>
      <w:tr w:rsidR="007D1780" w:rsidRPr="00C04482" w14:paraId="7717CFBD" w14:textId="77777777" w:rsidTr="00C44A2C">
        <w:tc>
          <w:tcPr>
            <w:tcW w:w="1431" w:type="dxa"/>
            <w:vMerge/>
          </w:tcPr>
          <w:p w14:paraId="4BCA4A3C" w14:textId="77777777" w:rsidR="007D1780" w:rsidRPr="00C04482" w:rsidRDefault="007D1780" w:rsidP="00C44A2C">
            <w:pPr>
              <w:keepNext/>
              <w:keepLines/>
              <w:spacing w:after="0"/>
              <w:ind w:left="0"/>
              <w:contextualSpacing/>
              <w:rPr>
                <w:sz w:val="18"/>
              </w:rPr>
            </w:pPr>
          </w:p>
        </w:tc>
        <w:tc>
          <w:tcPr>
            <w:tcW w:w="3143" w:type="dxa"/>
            <w:tcMar>
              <w:top w:w="30" w:type="dxa"/>
              <w:left w:w="45" w:type="dxa"/>
              <w:bottom w:w="30" w:type="dxa"/>
              <w:right w:w="45" w:type="dxa"/>
            </w:tcMar>
            <w:vAlign w:val="center"/>
          </w:tcPr>
          <w:p w14:paraId="2A8EC361" w14:textId="77777777" w:rsidR="007D1780" w:rsidRPr="4C05CE54" w:rsidRDefault="007D1780" w:rsidP="00C44A2C">
            <w:pPr>
              <w:keepNext/>
              <w:keepLines/>
              <w:spacing w:after="0"/>
              <w:ind w:left="0"/>
              <w:contextualSpacing/>
              <w:rPr>
                <w:sz w:val="18"/>
                <w:szCs w:val="18"/>
              </w:rPr>
            </w:pPr>
            <w:r w:rsidRPr="4C05CE54">
              <w:rPr>
                <w:sz w:val="18"/>
                <w:szCs w:val="18"/>
              </w:rPr>
              <w:t>PSC is proportional to halibut abundance</w:t>
            </w:r>
          </w:p>
        </w:tc>
        <w:tc>
          <w:tcPr>
            <w:tcW w:w="930" w:type="dxa"/>
            <w:tcMar>
              <w:top w:w="30" w:type="dxa"/>
              <w:left w:w="45" w:type="dxa"/>
              <w:bottom w:w="30" w:type="dxa"/>
              <w:right w:w="45" w:type="dxa"/>
            </w:tcMar>
            <w:vAlign w:val="center"/>
          </w:tcPr>
          <w:p w14:paraId="41EA2313" w14:textId="77777777" w:rsidR="007D1780" w:rsidRPr="00C04482" w:rsidRDefault="007D1780" w:rsidP="00C44A2C">
            <w:pPr>
              <w:keepNext/>
              <w:keepLines/>
              <w:spacing w:after="0"/>
              <w:ind w:left="0"/>
              <w:contextualSpacing/>
              <w:rPr>
                <w:sz w:val="18"/>
                <w:szCs w:val="20"/>
              </w:rPr>
            </w:pPr>
          </w:p>
        </w:tc>
        <w:tc>
          <w:tcPr>
            <w:tcW w:w="1617" w:type="dxa"/>
            <w:tcMar>
              <w:top w:w="30" w:type="dxa"/>
              <w:left w:w="45" w:type="dxa"/>
              <w:bottom w:w="30" w:type="dxa"/>
              <w:right w:w="45" w:type="dxa"/>
            </w:tcMar>
            <w:vAlign w:val="center"/>
          </w:tcPr>
          <w:p w14:paraId="4E506AA4" w14:textId="77777777" w:rsidR="007D1780" w:rsidRPr="4C05CE54" w:rsidRDefault="007D1780" w:rsidP="00C44A2C">
            <w:pPr>
              <w:keepNext/>
              <w:keepLines/>
              <w:spacing w:after="0"/>
              <w:ind w:left="0"/>
              <w:contextualSpacing/>
              <w:rPr>
                <w:sz w:val="18"/>
                <w:szCs w:val="18"/>
              </w:rPr>
            </w:pPr>
            <w:r>
              <w:rPr>
                <w:sz w:val="18"/>
                <w:szCs w:val="18"/>
              </w:rPr>
              <w:t>short and long term</w:t>
            </w:r>
          </w:p>
        </w:tc>
        <w:tc>
          <w:tcPr>
            <w:tcW w:w="2239" w:type="dxa"/>
            <w:tcMar>
              <w:top w:w="30" w:type="dxa"/>
              <w:left w:w="45" w:type="dxa"/>
              <w:bottom w:w="30" w:type="dxa"/>
              <w:right w:w="45" w:type="dxa"/>
            </w:tcMar>
            <w:vAlign w:val="center"/>
          </w:tcPr>
          <w:p w14:paraId="7E17EE24" w14:textId="77777777" w:rsidR="007D1780" w:rsidRPr="4C05CE54" w:rsidRDefault="007D1780" w:rsidP="00C44A2C">
            <w:pPr>
              <w:keepNext/>
              <w:keepLines/>
              <w:spacing w:after="0"/>
              <w:ind w:left="0"/>
              <w:contextualSpacing/>
              <w:rPr>
                <w:sz w:val="18"/>
                <w:szCs w:val="18"/>
              </w:rPr>
            </w:pPr>
            <w:r w:rsidRPr="4C05CE54">
              <w:rPr>
                <w:sz w:val="18"/>
                <w:szCs w:val="18"/>
              </w:rPr>
              <w:t>PSC limit</w:t>
            </w:r>
            <w:r>
              <w:rPr>
                <w:sz w:val="18"/>
                <w:szCs w:val="18"/>
              </w:rPr>
              <w:t xml:space="preserve"> change relative to h</w:t>
            </w:r>
            <w:r w:rsidRPr="4C05CE54">
              <w:rPr>
                <w:sz w:val="18"/>
                <w:szCs w:val="18"/>
              </w:rPr>
              <w:t>alibut biomass</w:t>
            </w:r>
          </w:p>
        </w:tc>
      </w:tr>
      <w:tr w:rsidR="007D1780" w:rsidRPr="00C04482" w14:paraId="404574C4" w14:textId="77777777" w:rsidTr="00C44A2C">
        <w:tc>
          <w:tcPr>
            <w:tcW w:w="1431" w:type="dxa"/>
            <w:vMerge/>
            <w:tcBorders>
              <w:bottom w:val="single" w:sz="4" w:space="0" w:color="auto"/>
            </w:tcBorders>
            <w:hideMark/>
          </w:tcPr>
          <w:p w14:paraId="67897ED1" w14:textId="77777777" w:rsidR="007D1780" w:rsidRPr="00C04482" w:rsidRDefault="007D1780" w:rsidP="00C44A2C">
            <w:pPr>
              <w:keepNext/>
              <w:keepLines/>
              <w:spacing w:after="0"/>
              <w:ind w:left="0"/>
              <w:contextualSpacing/>
              <w:rPr>
                <w:sz w:val="18"/>
              </w:rPr>
            </w:pPr>
          </w:p>
        </w:tc>
        <w:tc>
          <w:tcPr>
            <w:tcW w:w="3143" w:type="dxa"/>
            <w:tcBorders>
              <w:bottom w:val="single" w:sz="4" w:space="0" w:color="auto"/>
            </w:tcBorders>
            <w:tcMar>
              <w:top w:w="30" w:type="dxa"/>
              <w:left w:w="45" w:type="dxa"/>
              <w:bottom w:w="30" w:type="dxa"/>
              <w:right w:w="45" w:type="dxa"/>
            </w:tcMar>
            <w:vAlign w:val="center"/>
            <w:hideMark/>
          </w:tcPr>
          <w:p w14:paraId="20D30D31" w14:textId="77777777" w:rsidR="007D1780" w:rsidRPr="00C04482" w:rsidRDefault="007D1780" w:rsidP="00C44A2C">
            <w:pPr>
              <w:keepNext/>
              <w:keepLines/>
              <w:spacing w:after="0"/>
              <w:ind w:left="0"/>
              <w:contextualSpacing/>
              <w:rPr>
                <w:sz w:val="18"/>
                <w:szCs w:val="18"/>
              </w:rPr>
            </w:pPr>
            <w:r w:rsidRPr="4C05CE54">
              <w:rPr>
                <w:sz w:val="18"/>
                <w:szCs w:val="18"/>
              </w:rPr>
              <w:t>Incorporate appropriate size ranges to index the important components</w:t>
            </w:r>
          </w:p>
        </w:tc>
        <w:tc>
          <w:tcPr>
            <w:tcW w:w="930" w:type="dxa"/>
            <w:tcBorders>
              <w:bottom w:val="single" w:sz="4" w:space="0" w:color="auto"/>
            </w:tcBorders>
            <w:tcMar>
              <w:top w:w="30" w:type="dxa"/>
              <w:left w:w="45" w:type="dxa"/>
              <w:bottom w:w="30" w:type="dxa"/>
              <w:right w:w="45" w:type="dxa"/>
            </w:tcMar>
            <w:vAlign w:val="center"/>
            <w:hideMark/>
          </w:tcPr>
          <w:p w14:paraId="5BADCE8A" w14:textId="77777777" w:rsidR="007D1780" w:rsidRPr="00C04482" w:rsidRDefault="007D1780" w:rsidP="00C44A2C">
            <w:pPr>
              <w:keepNext/>
              <w:keepLines/>
              <w:spacing w:after="0"/>
              <w:ind w:left="0"/>
              <w:contextualSpacing/>
              <w:rPr>
                <w:sz w:val="18"/>
                <w:szCs w:val="20"/>
              </w:rPr>
            </w:pPr>
          </w:p>
        </w:tc>
        <w:tc>
          <w:tcPr>
            <w:tcW w:w="1617" w:type="dxa"/>
            <w:tcBorders>
              <w:bottom w:val="single" w:sz="4" w:space="0" w:color="auto"/>
            </w:tcBorders>
            <w:tcMar>
              <w:top w:w="30" w:type="dxa"/>
              <w:left w:w="45" w:type="dxa"/>
              <w:bottom w:w="30" w:type="dxa"/>
              <w:right w:w="45" w:type="dxa"/>
            </w:tcMar>
            <w:vAlign w:val="center"/>
            <w:hideMark/>
          </w:tcPr>
          <w:p w14:paraId="35D977C0" w14:textId="77777777" w:rsidR="007D1780" w:rsidRPr="00C04482" w:rsidRDefault="007D1780" w:rsidP="00C44A2C">
            <w:pPr>
              <w:keepNext/>
              <w:keepLines/>
              <w:spacing w:after="0"/>
              <w:ind w:left="0"/>
              <w:contextualSpacing/>
              <w:rPr>
                <w:sz w:val="18"/>
                <w:szCs w:val="18"/>
              </w:rPr>
            </w:pPr>
            <w:r>
              <w:rPr>
                <w:sz w:val="18"/>
                <w:szCs w:val="18"/>
              </w:rPr>
              <w:t>short and long term</w:t>
            </w:r>
          </w:p>
        </w:tc>
        <w:tc>
          <w:tcPr>
            <w:tcW w:w="2239" w:type="dxa"/>
            <w:tcBorders>
              <w:bottom w:val="single" w:sz="4" w:space="0" w:color="auto"/>
            </w:tcBorders>
            <w:tcMar>
              <w:top w:w="30" w:type="dxa"/>
              <w:left w:w="45" w:type="dxa"/>
              <w:bottom w:w="30" w:type="dxa"/>
              <w:right w:w="45" w:type="dxa"/>
            </w:tcMar>
            <w:vAlign w:val="center"/>
            <w:hideMark/>
          </w:tcPr>
          <w:p w14:paraId="72D3BEA3" w14:textId="77777777" w:rsidR="007D1780" w:rsidRPr="00C04482" w:rsidRDefault="007D1780" w:rsidP="00C44A2C">
            <w:pPr>
              <w:keepNext/>
              <w:keepLines/>
              <w:spacing w:after="0"/>
              <w:ind w:left="0"/>
              <w:contextualSpacing/>
              <w:rPr>
                <w:sz w:val="18"/>
                <w:szCs w:val="18"/>
              </w:rPr>
            </w:pPr>
            <w:r>
              <w:rPr>
                <w:sz w:val="18"/>
                <w:szCs w:val="18"/>
              </w:rPr>
              <w:t>Indices apply to segments of population (e.g., U12, O26)</w:t>
            </w:r>
          </w:p>
        </w:tc>
      </w:tr>
    </w:tbl>
    <w:p w14:paraId="439D5F4A" w14:textId="77777777" w:rsidR="007D1780" w:rsidRDefault="007D1780" w:rsidP="007D1780"/>
    <w:p w14:paraId="3C2C6137" w14:textId="77777777" w:rsidR="00981AC0" w:rsidRDefault="00981AC0"/>
    <w:sectPr w:rsidR="00981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0666"/>
    <w:multiLevelType w:val="hybridMultilevel"/>
    <w:tmpl w:val="54E6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B376E"/>
    <w:multiLevelType w:val="multilevel"/>
    <w:tmpl w:val="61C2A340"/>
    <w:lvl w:ilvl="0">
      <w:start w:val="1"/>
      <w:numFmt w:val="decimal"/>
      <w:pStyle w:val="Heading1"/>
      <w:lvlText w:val="%1."/>
      <w:lvlJc w:val="left"/>
      <w:pPr>
        <w:ind w:left="378" w:hanging="360"/>
      </w:pPr>
    </w:lvl>
    <w:lvl w:ilvl="1">
      <w:start w:val="1"/>
      <w:numFmt w:val="decimal"/>
      <w:pStyle w:val="Heading2"/>
      <w:lvlText w:val="%1.%2."/>
      <w:lvlJc w:val="left"/>
      <w:pPr>
        <w:ind w:left="810" w:hanging="432"/>
      </w:pPr>
    </w:lvl>
    <w:lvl w:ilvl="2">
      <w:start w:val="1"/>
      <w:numFmt w:val="decimal"/>
      <w:pStyle w:val="Heading3"/>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80"/>
    <w:rsid w:val="002303E4"/>
    <w:rsid w:val="005574BA"/>
    <w:rsid w:val="007D1780"/>
    <w:rsid w:val="008C4DA3"/>
    <w:rsid w:val="00981AC0"/>
    <w:rsid w:val="00BF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76D3"/>
  <w15:chartTrackingRefBased/>
  <w15:docId w15:val="{CBA81389-A21E-4582-9E21-277EEB38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D1780"/>
    <w:pPr>
      <w:tabs>
        <w:tab w:val="left" w:pos="-1439"/>
        <w:tab w:val="left" w:pos="-719"/>
        <w:tab w:val="left" w:pos="0"/>
        <w:tab w:val="left" w:pos="8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18"/>
    </w:pPr>
    <w:rPr>
      <w:rFonts w:ascii="Times New Roman" w:eastAsia="Times New Roman" w:hAnsi="Times New Roman" w:cs="Times New Roman"/>
      <w:color w:val="000000"/>
    </w:rPr>
  </w:style>
  <w:style w:type="paragraph" w:styleId="Heading1">
    <w:name w:val="heading 1"/>
    <w:basedOn w:val="Normal"/>
    <w:next w:val="Normal"/>
    <w:link w:val="Heading1Char"/>
    <w:rsid w:val="007D1780"/>
    <w:pPr>
      <w:keepNext/>
      <w:keepLines/>
      <w:numPr>
        <w:numId w:val="1"/>
      </w:numPr>
      <w:spacing w:after="0"/>
      <w:contextualSpacing/>
      <w:outlineLvl w:val="0"/>
    </w:pPr>
    <w:rPr>
      <w:rFonts w:ascii="Calibri" w:eastAsia="Calibri" w:hAnsi="Calibri" w:cs="Calibri"/>
      <w:b/>
      <w:sz w:val="24"/>
      <w:szCs w:val="24"/>
    </w:rPr>
  </w:style>
  <w:style w:type="paragraph" w:styleId="Heading2">
    <w:name w:val="heading 2"/>
    <w:basedOn w:val="Normal"/>
    <w:next w:val="Normal"/>
    <w:link w:val="Heading2Char"/>
    <w:rsid w:val="007D1780"/>
    <w:pPr>
      <w:keepNext/>
      <w:keepLines/>
      <w:numPr>
        <w:ilvl w:val="1"/>
        <w:numId w:val="1"/>
      </w:numPr>
      <w:tabs>
        <w:tab w:val="center" w:pos="4680"/>
      </w:tabs>
      <w:spacing w:after="0"/>
      <w:ind w:left="450"/>
      <w:jc w:val="both"/>
      <w:outlineLvl w:val="1"/>
    </w:pPr>
    <w:rPr>
      <w:b/>
    </w:rPr>
  </w:style>
  <w:style w:type="paragraph" w:styleId="Heading3">
    <w:name w:val="heading 3"/>
    <w:basedOn w:val="Normal"/>
    <w:next w:val="Normal"/>
    <w:link w:val="Heading3Char"/>
    <w:rsid w:val="007D1780"/>
    <w:pPr>
      <w:keepNext/>
      <w:keepLines/>
      <w:numPr>
        <w:ilvl w:val="2"/>
        <w:numId w:val="1"/>
      </w:numPr>
      <w:spacing w:after="0"/>
      <w:ind w:left="540"/>
      <w:contextualSpacing/>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80"/>
    <w:rPr>
      <w:rFonts w:ascii="Calibri" w:eastAsia="Calibri" w:hAnsi="Calibri" w:cs="Calibri"/>
      <w:b/>
      <w:color w:val="000000"/>
      <w:sz w:val="24"/>
      <w:szCs w:val="24"/>
    </w:rPr>
  </w:style>
  <w:style w:type="character" w:customStyle="1" w:styleId="Heading2Char">
    <w:name w:val="Heading 2 Char"/>
    <w:basedOn w:val="DefaultParagraphFont"/>
    <w:link w:val="Heading2"/>
    <w:rsid w:val="007D1780"/>
    <w:rPr>
      <w:rFonts w:ascii="Times New Roman" w:eastAsia="Times New Roman" w:hAnsi="Times New Roman" w:cs="Times New Roman"/>
      <w:b/>
      <w:color w:val="000000"/>
    </w:rPr>
  </w:style>
  <w:style w:type="character" w:customStyle="1" w:styleId="Heading3Char">
    <w:name w:val="Heading 3 Char"/>
    <w:basedOn w:val="DefaultParagraphFont"/>
    <w:link w:val="Heading3"/>
    <w:rsid w:val="007D1780"/>
    <w:rPr>
      <w:rFonts w:ascii="Times New Roman" w:eastAsia="Times New Roman" w:hAnsi="Times New Roman" w:cs="Times New Roman"/>
      <w:i/>
      <w:color w:val="000000"/>
    </w:rPr>
  </w:style>
  <w:style w:type="paragraph" w:styleId="Caption">
    <w:name w:val="caption"/>
    <w:basedOn w:val="Normal"/>
    <w:next w:val="Normal"/>
    <w:link w:val="CaptionChar"/>
    <w:autoRedefine/>
    <w:unhideWhenUsed/>
    <w:qFormat/>
    <w:rsid w:val="007D1780"/>
    <w:pPr>
      <w:keepNext/>
      <w:keepLines/>
      <w:tabs>
        <w:tab w:val="clear" w:pos="0"/>
        <w:tab w:val="clear" w:pos="842"/>
      </w:tabs>
      <w:ind w:left="907" w:hanging="907"/>
    </w:pPr>
    <w:rPr>
      <w:iCs/>
      <w:color w:val="auto"/>
    </w:rPr>
  </w:style>
  <w:style w:type="paragraph" w:styleId="ListParagraph">
    <w:name w:val="List Paragraph"/>
    <w:basedOn w:val="Normal"/>
    <w:uiPriority w:val="34"/>
    <w:qFormat/>
    <w:rsid w:val="007D1780"/>
    <w:pPr>
      <w:ind w:left="720"/>
      <w:contextualSpacing/>
    </w:pPr>
  </w:style>
  <w:style w:type="character" w:customStyle="1" w:styleId="CaptionChar">
    <w:name w:val="Caption Char"/>
    <w:basedOn w:val="DefaultParagraphFont"/>
    <w:link w:val="Caption"/>
    <w:rsid w:val="007D1780"/>
    <w:rPr>
      <w:rFonts w:ascii="Times New Roman" w:eastAsia="Times New Roman" w:hAnsi="Times New Roman"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2018-12-19T23:46:00Z</dcterms:created>
  <dcterms:modified xsi:type="dcterms:W3CDTF">2018-12-19T23:47:00Z</dcterms:modified>
</cp:coreProperties>
</file>