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E84" w:rsidRDefault="007D7E84">
      <w:pPr>
        <w:pStyle w:val="Title"/>
        <w:ind w:left="1620"/>
        <w:jc w:val="center"/>
        <w:rPr>
          <w:b w:val="0"/>
        </w:rPr>
      </w:pPr>
      <w:bookmarkStart w:id="0" w:name="_gjdgxs" w:colFirst="0" w:colLast="0"/>
      <w:bookmarkEnd w:id="0"/>
    </w:p>
    <w:p w:rsidR="007D7E84" w:rsidRDefault="00CC1370">
      <w:pPr>
        <w:pStyle w:val="Title"/>
        <w:ind w:left="1620"/>
        <w:jc w:val="center"/>
        <w:rPr>
          <w:b w:val="0"/>
        </w:rPr>
      </w:pPr>
      <w:bookmarkStart w:id="1" w:name="_1fob9te" w:colFirst="0" w:colLast="0"/>
      <w:bookmarkEnd w:id="1"/>
      <w:r>
        <w:rPr>
          <w:noProof/>
        </w:rPr>
        <w:drawing>
          <wp:anchor distT="0" distB="0" distL="114300" distR="114300" simplePos="0" relativeHeight="251658240" behindDoc="0" locked="0" layoutInCell="1" hidden="0" allowOverlap="1">
            <wp:simplePos x="0" y="0"/>
            <wp:positionH relativeFrom="column">
              <wp:posOffset>2447925</wp:posOffset>
            </wp:positionH>
            <wp:positionV relativeFrom="paragraph">
              <wp:posOffset>95250</wp:posOffset>
            </wp:positionV>
            <wp:extent cx="936346" cy="810199"/>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936346" cy="810199"/>
                    </a:xfrm>
                    <a:prstGeom prst="rect">
                      <a:avLst/>
                    </a:prstGeom>
                    <a:ln/>
                  </pic:spPr>
                </pic:pic>
              </a:graphicData>
            </a:graphic>
          </wp:anchor>
        </w:drawing>
      </w:r>
    </w:p>
    <w:p w:rsidR="007D7E84" w:rsidRDefault="007D7E84"/>
    <w:p w:rsidR="007D7E84" w:rsidRDefault="007D7E84"/>
    <w:p w:rsidR="007D7E84" w:rsidRDefault="007D7E84"/>
    <w:p w:rsidR="007D7E84" w:rsidRDefault="007D7E84"/>
    <w:p w:rsidR="007D7E84" w:rsidRDefault="007D7E84">
      <w:pPr>
        <w:pStyle w:val="Title"/>
        <w:jc w:val="center"/>
      </w:pPr>
      <w:bookmarkStart w:id="2" w:name="_nk8kz8qo46a" w:colFirst="0" w:colLast="0"/>
      <w:bookmarkEnd w:id="2"/>
    </w:p>
    <w:p w:rsidR="007D7E84" w:rsidRDefault="00CC1370">
      <w:pPr>
        <w:pStyle w:val="Title"/>
        <w:jc w:val="center"/>
      </w:pPr>
      <w:bookmarkStart w:id="3" w:name="_ragy23zfgu4o" w:colFirst="0" w:colLast="0"/>
      <w:bookmarkEnd w:id="3"/>
      <w:r>
        <w:t>Bering Sea Fishery Ecosystem Plan:</w:t>
      </w:r>
    </w:p>
    <w:p w:rsidR="007D7E84" w:rsidRDefault="00CC1370">
      <w:pPr>
        <w:pStyle w:val="Title"/>
        <w:jc w:val="center"/>
      </w:pPr>
      <w:r>
        <w:t>Climate Change Action Module to evaluate short- to long-term effects of climate change on fish, fisheries, and the Bering Sea Ecosystem, and to develop management considerations</w:t>
      </w:r>
    </w:p>
    <w:p w:rsidR="007D7E84" w:rsidRDefault="007D7E84"/>
    <w:p w:rsidR="007D7E84" w:rsidRDefault="00CC1370">
      <w:pPr>
        <w:pStyle w:val="Subtitle"/>
        <w:spacing w:before="120"/>
        <w:ind w:left="1620"/>
        <w:jc w:val="center"/>
      </w:pPr>
      <w:bookmarkStart w:id="4" w:name="_taxuppdtwkg2" w:colFirst="0" w:colLast="0"/>
      <w:bookmarkEnd w:id="4"/>
      <w:r>
        <w:t xml:space="preserve">December 2020 </w:t>
      </w:r>
    </w:p>
    <w:p w:rsidR="007D7E84" w:rsidRDefault="00CC1370">
      <w:pPr>
        <w:pStyle w:val="Subtitle"/>
        <w:spacing w:before="120"/>
        <w:ind w:left="1620"/>
        <w:jc w:val="center"/>
      </w:pPr>
      <w:bookmarkStart w:id="5" w:name="_rxufsy4tbqto" w:colFirst="0" w:colLast="0"/>
      <w:bookmarkEnd w:id="5"/>
      <w:r>
        <w:t>DRAFT Action Module Workplan</w:t>
      </w:r>
    </w:p>
    <w:p w:rsidR="007D7E84" w:rsidRDefault="007D7E84"/>
    <w:p w:rsidR="007D7E84" w:rsidRDefault="00CC1370">
      <w:pPr>
        <w:jc w:val="center"/>
      </w:pPr>
      <w:r>
        <w:t>Diana Stram</w:t>
      </w:r>
      <w:r>
        <w:rPr>
          <w:vertAlign w:val="superscript"/>
        </w:rPr>
        <w:footnoteReference w:id="1"/>
      </w:r>
      <w:r>
        <w:t>, Kirstin Holsman</w:t>
      </w:r>
      <w:r>
        <w:rPr>
          <w:vertAlign w:val="superscript"/>
        </w:rPr>
        <w:footnoteReference w:id="2"/>
      </w:r>
    </w:p>
    <w:p w:rsidR="007D7E84" w:rsidRDefault="007D7E84">
      <w:pPr>
        <w:jc w:val="center"/>
      </w:pPr>
    </w:p>
    <w:p w:rsidR="007D7E84" w:rsidRDefault="00CC1370">
      <w:pPr>
        <w:jc w:val="center"/>
      </w:pPr>
      <w:r>
        <w:t>Lauren Divine</w:t>
      </w:r>
      <w:r>
        <w:rPr>
          <w:vertAlign w:val="superscript"/>
        </w:rPr>
        <w:footnoteReference w:id="3"/>
      </w:r>
      <w:r>
        <w:t>, Scott Goodman</w:t>
      </w:r>
      <w:r>
        <w:rPr>
          <w:vertAlign w:val="superscript"/>
        </w:rPr>
        <w:footnoteReference w:id="4"/>
      </w:r>
      <w:r>
        <w:t>, Joe Krieger</w:t>
      </w:r>
      <w:r>
        <w:rPr>
          <w:vertAlign w:val="superscript"/>
        </w:rPr>
        <w:footnoteReference w:id="5"/>
      </w:r>
      <w:r>
        <w:t>, Mike LeVine</w:t>
      </w:r>
      <w:r>
        <w:rPr>
          <w:vertAlign w:val="superscript"/>
        </w:rPr>
        <w:footnoteReference w:id="6"/>
      </w:r>
      <w:r>
        <w:t>, Steve Martell</w:t>
      </w:r>
      <w:r>
        <w:rPr>
          <w:vertAlign w:val="superscript"/>
        </w:rPr>
        <w:footnoteReference w:id="7"/>
      </w:r>
      <w:r>
        <w:t>, Brenden Raymond-Yakoubian</w:t>
      </w:r>
      <w:r>
        <w:rPr>
          <w:vertAlign w:val="superscript"/>
        </w:rPr>
        <w:footnoteReference w:id="8"/>
      </w:r>
      <w:r>
        <w:t>, Jeremy Sterling</w:t>
      </w:r>
      <w:r>
        <w:rPr>
          <w:vertAlign w:val="superscript"/>
        </w:rPr>
        <w:footnoteReference w:id="9"/>
      </w:r>
    </w:p>
    <w:p w:rsidR="007D7E84" w:rsidRDefault="00CC1370">
      <w:pPr>
        <w:jc w:val="center"/>
      </w:pPr>
      <w:r>
        <w:br w:type="page"/>
      </w:r>
    </w:p>
    <w:p w:rsidR="007D7E84" w:rsidRDefault="00CC1370">
      <w:pPr>
        <w:keepNext/>
        <w:keepLines/>
        <w:pBdr>
          <w:top w:val="nil"/>
          <w:left w:val="nil"/>
          <w:bottom w:val="nil"/>
          <w:right w:val="nil"/>
          <w:between w:val="nil"/>
        </w:pBdr>
        <w:spacing w:before="240" w:after="0"/>
        <w:rPr>
          <w:rFonts w:ascii="Calibri" w:eastAsia="Calibri" w:hAnsi="Calibri" w:cs="Calibri"/>
          <w:b/>
          <w:color w:val="366091"/>
          <w:sz w:val="42"/>
          <w:szCs w:val="42"/>
        </w:rPr>
      </w:pPr>
      <w:r>
        <w:rPr>
          <w:rFonts w:ascii="Calibri" w:eastAsia="Calibri" w:hAnsi="Calibri" w:cs="Calibri"/>
          <w:b/>
          <w:color w:val="366091"/>
          <w:sz w:val="42"/>
          <w:szCs w:val="42"/>
        </w:rPr>
        <w:lastRenderedPageBreak/>
        <w:t>Contents</w:t>
      </w:r>
      <w:r>
        <w:pict>
          <v:rect id="_x0000_i1025" style="width:0;height:1.5pt" o:hralign="center" o:hrstd="t" o:hr="t" fillcolor="#a0a0a0" stroked="f"/>
        </w:pict>
      </w:r>
    </w:p>
    <w:sdt>
      <w:sdtPr>
        <w:id w:val="-992491629"/>
        <w:docPartObj>
          <w:docPartGallery w:val="Table of Contents"/>
          <w:docPartUnique/>
        </w:docPartObj>
      </w:sdtPr>
      <w:sdtEndPr/>
      <w:sdtContent>
        <w:p w:rsidR="007D7E84" w:rsidRDefault="00CC1370">
          <w:pPr>
            <w:tabs>
              <w:tab w:val="right" w:pos="9360"/>
            </w:tabs>
            <w:spacing w:before="80"/>
            <w:rPr>
              <w:b/>
              <w:i/>
              <w:color w:val="666666"/>
              <w:sz w:val="18"/>
              <w:szCs w:val="18"/>
            </w:rPr>
          </w:pPr>
          <w:r>
            <w:fldChar w:fldCharType="begin"/>
          </w:r>
          <w:r>
            <w:instrText xml:space="preserve"> TOC \h \u \z </w:instrText>
          </w:r>
          <w:r>
            <w:fldChar w:fldCharType="separate"/>
          </w:r>
          <w:hyperlink w:anchor="_gkvl1owf4c50">
            <w:r>
              <w:rPr>
                <w:b/>
                <w:i/>
                <w:color w:val="666666"/>
                <w:sz w:val="18"/>
                <w:szCs w:val="18"/>
              </w:rPr>
              <w:t>Executive summary</w:t>
            </w:r>
          </w:hyperlink>
          <w:r>
            <w:rPr>
              <w:b/>
              <w:i/>
              <w:color w:val="666666"/>
              <w:sz w:val="18"/>
              <w:szCs w:val="18"/>
            </w:rPr>
            <w:tab/>
          </w:r>
          <w:r>
            <w:fldChar w:fldCharType="begin"/>
          </w:r>
          <w:r>
            <w:instrText xml:space="preserve"> PAGEREF _gkvl1owf4c50 \h </w:instrText>
          </w:r>
          <w:r>
            <w:fldChar w:fldCharType="separate"/>
          </w:r>
          <w:r>
            <w:rPr>
              <w:b/>
              <w:i/>
              <w:color w:val="666666"/>
              <w:sz w:val="18"/>
              <w:szCs w:val="18"/>
            </w:rPr>
            <w:t>3</w:t>
          </w:r>
          <w:r>
            <w:fldChar w:fldCharType="end"/>
          </w:r>
        </w:p>
        <w:p w:rsidR="007D7E84" w:rsidRDefault="00CC1370">
          <w:pPr>
            <w:tabs>
              <w:tab w:val="right" w:pos="9360"/>
            </w:tabs>
            <w:spacing w:before="200"/>
            <w:rPr>
              <w:b/>
              <w:i/>
              <w:color w:val="666666"/>
              <w:sz w:val="18"/>
              <w:szCs w:val="18"/>
            </w:rPr>
          </w:pPr>
          <w:hyperlink w:anchor="_a4d3vpry3xx">
            <w:r>
              <w:rPr>
                <w:b/>
                <w:i/>
                <w:color w:val="666666"/>
                <w:sz w:val="18"/>
                <w:szCs w:val="18"/>
              </w:rPr>
              <w:t>Introduction</w:t>
            </w:r>
          </w:hyperlink>
          <w:r>
            <w:rPr>
              <w:b/>
              <w:i/>
              <w:color w:val="666666"/>
              <w:sz w:val="18"/>
              <w:szCs w:val="18"/>
            </w:rPr>
            <w:tab/>
          </w:r>
          <w:r>
            <w:fldChar w:fldCharType="begin"/>
          </w:r>
          <w:r>
            <w:instrText xml:space="preserve"> PAGEREF _a4d3vpry3xx \h </w:instrText>
          </w:r>
          <w:r>
            <w:fldChar w:fldCharType="separate"/>
          </w:r>
          <w:r>
            <w:rPr>
              <w:b/>
              <w:i/>
              <w:color w:val="666666"/>
              <w:sz w:val="18"/>
              <w:szCs w:val="18"/>
            </w:rPr>
            <w:t>4</w:t>
          </w:r>
          <w:r>
            <w:fldChar w:fldCharType="end"/>
          </w:r>
        </w:p>
        <w:p w:rsidR="007D7E84" w:rsidRDefault="00CC1370">
          <w:pPr>
            <w:tabs>
              <w:tab w:val="right" w:pos="9360"/>
            </w:tabs>
            <w:spacing w:before="60"/>
            <w:ind w:left="1080"/>
            <w:rPr>
              <w:i/>
              <w:color w:val="666666"/>
              <w:sz w:val="18"/>
              <w:szCs w:val="18"/>
            </w:rPr>
          </w:pPr>
          <w:hyperlink w:anchor="_3dy6vkm">
            <w:r>
              <w:rPr>
                <w:i/>
                <w:color w:val="666666"/>
                <w:sz w:val="18"/>
                <w:szCs w:val="18"/>
              </w:rPr>
              <w:t>Figure 1.  Projected end of century changes in sea surface temperature (SST) anomalies relative to historical SST under global carbon mitigation (left) and unmitigated (right) future scenarios. Based on Coupled Model Intercomparison Project (CMI</w:t>
            </w:r>
            <w:r>
              <w:rPr>
                <w:i/>
                <w:color w:val="666666"/>
                <w:sz w:val="18"/>
                <w:szCs w:val="18"/>
              </w:rPr>
              <w:t>P) 5 ensemble scenarios.</w:t>
            </w:r>
          </w:hyperlink>
          <w:r>
            <w:rPr>
              <w:i/>
              <w:color w:val="666666"/>
              <w:sz w:val="18"/>
              <w:szCs w:val="18"/>
            </w:rPr>
            <w:tab/>
          </w:r>
          <w:r>
            <w:fldChar w:fldCharType="begin"/>
          </w:r>
          <w:r>
            <w:instrText xml:space="preserve"> PAGEREF _3dy6vkm \h </w:instrText>
          </w:r>
          <w:r>
            <w:fldChar w:fldCharType="separate"/>
          </w:r>
          <w:r>
            <w:rPr>
              <w:i/>
              <w:color w:val="666666"/>
              <w:sz w:val="18"/>
              <w:szCs w:val="18"/>
            </w:rPr>
            <w:t>4</w:t>
          </w:r>
          <w:r>
            <w:fldChar w:fldCharType="end"/>
          </w:r>
        </w:p>
        <w:p w:rsidR="007D7E84" w:rsidRDefault="00CC1370">
          <w:pPr>
            <w:tabs>
              <w:tab w:val="right" w:pos="9360"/>
            </w:tabs>
            <w:spacing w:before="200"/>
            <w:rPr>
              <w:b/>
              <w:i/>
              <w:color w:val="666666"/>
              <w:sz w:val="18"/>
              <w:szCs w:val="18"/>
            </w:rPr>
          </w:pPr>
          <w:hyperlink w:anchor="_smx6y5e9hwx5">
            <w:r>
              <w:rPr>
                <w:b/>
                <w:i/>
                <w:color w:val="666666"/>
                <w:sz w:val="18"/>
                <w:szCs w:val="18"/>
              </w:rPr>
              <w:t>Adaptation and Resilience</w:t>
            </w:r>
          </w:hyperlink>
          <w:r>
            <w:rPr>
              <w:b/>
              <w:i/>
              <w:color w:val="666666"/>
              <w:sz w:val="18"/>
              <w:szCs w:val="18"/>
            </w:rPr>
            <w:tab/>
          </w:r>
          <w:r>
            <w:fldChar w:fldCharType="begin"/>
          </w:r>
          <w:r>
            <w:instrText xml:space="preserve"> PAGEREF _smx6y5e9hwx5 \h </w:instrText>
          </w:r>
          <w:r>
            <w:fldChar w:fldCharType="separate"/>
          </w:r>
          <w:r>
            <w:rPr>
              <w:b/>
              <w:i/>
              <w:color w:val="666666"/>
              <w:sz w:val="18"/>
              <w:szCs w:val="18"/>
            </w:rPr>
            <w:t>5</w:t>
          </w:r>
          <w:r>
            <w:fldChar w:fldCharType="end"/>
          </w:r>
        </w:p>
        <w:p w:rsidR="007D7E84" w:rsidRDefault="00CC1370">
          <w:pPr>
            <w:tabs>
              <w:tab w:val="right" w:pos="9360"/>
            </w:tabs>
            <w:spacing w:before="60"/>
            <w:ind w:left="1080"/>
            <w:rPr>
              <w:i/>
              <w:color w:val="666666"/>
              <w:sz w:val="18"/>
              <w:szCs w:val="18"/>
            </w:rPr>
          </w:pPr>
          <w:hyperlink w:anchor="_2et92p0">
            <w:r>
              <w:rPr>
                <w:i/>
                <w:color w:val="666666"/>
                <w:sz w:val="18"/>
                <w:szCs w:val="18"/>
              </w:rPr>
              <w:t>Figure 2. Climate adaptation pathways.  From Wise et al. 2014.</w:t>
            </w:r>
          </w:hyperlink>
          <w:r>
            <w:rPr>
              <w:i/>
              <w:color w:val="666666"/>
              <w:sz w:val="18"/>
              <w:szCs w:val="18"/>
            </w:rPr>
            <w:tab/>
          </w:r>
          <w:r>
            <w:fldChar w:fldCharType="begin"/>
          </w:r>
          <w:r>
            <w:instrText xml:space="preserve"> PAGEREF _2et92p0 \h </w:instrText>
          </w:r>
          <w:r>
            <w:fldChar w:fldCharType="separate"/>
          </w:r>
          <w:r>
            <w:rPr>
              <w:i/>
              <w:color w:val="666666"/>
              <w:sz w:val="18"/>
              <w:szCs w:val="18"/>
            </w:rPr>
            <w:t>6</w:t>
          </w:r>
          <w:r>
            <w:fldChar w:fldCharType="end"/>
          </w:r>
        </w:p>
        <w:p w:rsidR="007D7E84" w:rsidRDefault="00CC1370">
          <w:pPr>
            <w:tabs>
              <w:tab w:val="right" w:pos="9360"/>
            </w:tabs>
            <w:spacing w:before="60"/>
            <w:ind w:left="360"/>
            <w:rPr>
              <w:i/>
              <w:color w:val="666666"/>
              <w:sz w:val="18"/>
              <w:szCs w:val="18"/>
            </w:rPr>
          </w:pPr>
          <w:hyperlink w:anchor="_8nysw3lb6jr">
            <w:r>
              <w:rPr>
                <w:i/>
                <w:color w:val="666666"/>
                <w:sz w:val="18"/>
                <w:szCs w:val="18"/>
              </w:rPr>
              <w:t>Adaptation</w:t>
            </w:r>
          </w:hyperlink>
          <w:r>
            <w:rPr>
              <w:i/>
              <w:color w:val="666666"/>
              <w:sz w:val="18"/>
              <w:szCs w:val="18"/>
            </w:rPr>
            <w:tab/>
          </w:r>
          <w:r>
            <w:fldChar w:fldCharType="begin"/>
          </w:r>
          <w:r>
            <w:instrText xml:space="preserve"> PAGEREF _8nysw3lb6jr \h </w:instrText>
          </w:r>
          <w:r>
            <w:fldChar w:fldCharType="separate"/>
          </w:r>
          <w:r>
            <w:rPr>
              <w:i/>
              <w:color w:val="666666"/>
              <w:sz w:val="18"/>
              <w:szCs w:val="18"/>
            </w:rPr>
            <w:t>6</w:t>
          </w:r>
          <w:r>
            <w:fldChar w:fldCharType="end"/>
          </w:r>
        </w:p>
        <w:p w:rsidR="007D7E84" w:rsidRDefault="00CC1370">
          <w:pPr>
            <w:tabs>
              <w:tab w:val="right" w:pos="9360"/>
            </w:tabs>
            <w:spacing w:before="60"/>
            <w:ind w:left="360"/>
            <w:rPr>
              <w:i/>
              <w:color w:val="666666"/>
              <w:sz w:val="18"/>
              <w:szCs w:val="18"/>
            </w:rPr>
          </w:pPr>
          <w:hyperlink w:anchor="_8bc4gz1omtdk">
            <w:r>
              <w:rPr>
                <w:i/>
                <w:color w:val="666666"/>
                <w:sz w:val="18"/>
                <w:szCs w:val="18"/>
              </w:rPr>
              <w:t>Resilience</w:t>
            </w:r>
          </w:hyperlink>
          <w:r>
            <w:rPr>
              <w:i/>
              <w:color w:val="666666"/>
              <w:sz w:val="18"/>
              <w:szCs w:val="18"/>
            </w:rPr>
            <w:tab/>
          </w:r>
          <w:r>
            <w:fldChar w:fldCharType="begin"/>
          </w:r>
          <w:r>
            <w:instrText xml:space="preserve"> PAGEREF _8bc4gz1omtdk \h </w:instrText>
          </w:r>
          <w:r>
            <w:fldChar w:fldCharType="separate"/>
          </w:r>
          <w:r>
            <w:rPr>
              <w:i/>
              <w:color w:val="666666"/>
              <w:sz w:val="18"/>
              <w:szCs w:val="18"/>
            </w:rPr>
            <w:t>7</w:t>
          </w:r>
          <w:r>
            <w:fldChar w:fldCharType="end"/>
          </w:r>
        </w:p>
        <w:p w:rsidR="007D7E84" w:rsidRDefault="00CC1370">
          <w:pPr>
            <w:tabs>
              <w:tab w:val="right" w:pos="9360"/>
            </w:tabs>
            <w:spacing w:before="200"/>
            <w:rPr>
              <w:b/>
              <w:i/>
              <w:color w:val="666666"/>
              <w:sz w:val="18"/>
              <w:szCs w:val="18"/>
            </w:rPr>
          </w:pPr>
          <w:hyperlink w:anchor="_zg7s0syc7vvn">
            <w:r>
              <w:rPr>
                <w:b/>
                <w:i/>
                <w:color w:val="666666"/>
                <w:sz w:val="18"/>
                <w:szCs w:val="18"/>
              </w:rPr>
              <w:t>Module Goal</w:t>
            </w:r>
          </w:hyperlink>
          <w:r>
            <w:rPr>
              <w:b/>
              <w:i/>
              <w:color w:val="666666"/>
              <w:sz w:val="18"/>
              <w:szCs w:val="18"/>
            </w:rPr>
            <w:tab/>
          </w:r>
          <w:r>
            <w:fldChar w:fldCharType="begin"/>
          </w:r>
          <w:r>
            <w:instrText xml:space="preserve"> PAGEREF _zg7s0syc7vvn \h </w:instrText>
          </w:r>
          <w:r>
            <w:fldChar w:fldCharType="separate"/>
          </w:r>
          <w:r>
            <w:rPr>
              <w:b/>
              <w:i/>
              <w:color w:val="666666"/>
              <w:sz w:val="18"/>
              <w:szCs w:val="18"/>
            </w:rPr>
            <w:t>7</w:t>
          </w:r>
          <w:r>
            <w:fldChar w:fldCharType="end"/>
          </w:r>
        </w:p>
        <w:p w:rsidR="007D7E84" w:rsidRDefault="00CC1370">
          <w:pPr>
            <w:tabs>
              <w:tab w:val="right" w:pos="9360"/>
            </w:tabs>
            <w:spacing w:before="60"/>
            <w:ind w:left="360"/>
            <w:rPr>
              <w:i/>
              <w:color w:val="666666"/>
              <w:sz w:val="18"/>
              <w:szCs w:val="18"/>
            </w:rPr>
          </w:pPr>
          <w:hyperlink w:anchor="_2ocown7hle49">
            <w:r>
              <w:rPr>
                <w:i/>
                <w:color w:val="666666"/>
                <w:sz w:val="18"/>
                <w:szCs w:val="18"/>
              </w:rPr>
              <w:t>The goal of the Climate Change Module is to facilitate the Council’s work towards both short-te</w:t>
            </w:r>
            <w:r>
              <w:rPr>
                <w:i/>
                <w:color w:val="666666"/>
                <w:sz w:val="18"/>
                <w:szCs w:val="18"/>
              </w:rPr>
              <w:t>rm and long-term climate resilience for the coupled social-ecological system of the Bering Sea through equitable climate change adaptation pathways, transparent communication, and broad engagement.</w:t>
            </w:r>
          </w:hyperlink>
          <w:r>
            <w:rPr>
              <w:i/>
              <w:color w:val="666666"/>
              <w:sz w:val="18"/>
              <w:szCs w:val="18"/>
            </w:rPr>
            <w:tab/>
          </w:r>
          <w:r>
            <w:fldChar w:fldCharType="begin"/>
          </w:r>
          <w:r>
            <w:instrText xml:space="preserve"> PAGEREF _2ocown7hle49 \h </w:instrText>
          </w:r>
          <w:r>
            <w:fldChar w:fldCharType="separate"/>
          </w:r>
          <w:r>
            <w:rPr>
              <w:i/>
              <w:color w:val="666666"/>
              <w:sz w:val="18"/>
              <w:szCs w:val="18"/>
            </w:rPr>
            <w:t>8</w:t>
          </w:r>
          <w:r>
            <w:fldChar w:fldCharType="end"/>
          </w:r>
        </w:p>
        <w:p w:rsidR="007D7E84" w:rsidRDefault="00CC1370">
          <w:pPr>
            <w:tabs>
              <w:tab w:val="right" w:pos="9360"/>
            </w:tabs>
            <w:spacing w:before="200"/>
            <w:rPr>
              <w:b/>
              <w:i/>
              <w:color w:val="666666"/>
              <w:sz w:val="18"/>
              <w:szCs w:val="18"/>
            </w:rPr>
          </w:pPr>
          <w:hyperlink w:anchor="_yl16tic0m6ew">
            <w:r>
              <w:rPr>
                <w:b/>
                <w:i/>
                <w:color w:val="666666"/>
                <w:sz w:val="18"/>
                <w:szCs w:val="18"/>
              </w:rPr>
              <w:t>Action Module Activities</w:t>
            </w:r>
          </w:hyperlink>
          <w:r>
            <w:rPr>
              <w:b/>
              <w:i/>
              <w:color w:val="666666"/>
              <w:sz w:val="18"/>
              <w:szCs w:val="18"/>
            </w:rPr>
            <w:tab/>
          </w:r>
          <w:r>
            <w:fldChar w:fldCharType="begin"/>
          </w:r>
          <w:r>
            <w:instrText xml:space="preserve"> PAGEREF _yl16tic0m6ew \h </w:instrText>
          </w:r>
          <w:r>
            <w:fldChar w:fldCharType="separate"/>
          </w:r>
          <w:r>
            <w:rPr>
              <w:b/>
              <w:i/>
              <w:color w:val="666666"/>
              <w:sz w:val="18"/>
              <w:szCs w:val="18"/>
            </w:rPr>
            <w:t>8</w:t>
          </w:r>
          <w:r>
            <w:fldChar w:fldCharType="end"/>
          </w:r>
        </w:p>
        <w:p w:rsidR="007D7E84" w:rsidRDefault="00CC1370">
          <w:pPr>
            <w:tabs>
              <w:tab w:val="right" w:pos="9360"/>
            </w:tabs>
            <w:spacing w:before="60"/>
            <w:ind w:left="1080"/>
            <w:rPr>
              <w:i/>
              <w:color w:val="666666"/>
              <w:sz w:val="18"/>
              <w:szCs w:val="18"/>
            </w:rPr>
          </w:pPr>
          <w:hyperlink w:anchor="_4d34og8">
            <w:r>
              <w:rPr>
                <w:i/>
                <w:color w:val="666666"/>
                <w:sz w:val="18"/>
                <w:szCs w:val="18"/>
              </w:rPr>
              <w:t>Figure 3. Iterative climate-resilient fisheries management approach. Modified from Holsman et al. 2019.</w:t>
            </w:r>
          </w:hyperlink>
          <w:r>
            <w:rPr>
              <w:i/>
              <w:color w:val="666666"/>
              <w:sz w:val="18"/>
              <w:szCs w:val="18"/>
            </w:rPr>
            <w:tab/>
          </w:r>
          <w:r>
            <w:fldChar w:fldCharType="begin"/>
          </w:r>
          <w:r>
            <w:instrText xml:space="preserve"> PAGEREF _4d34og8 \h </w:instrText>
          </w:r>
          <w:r>
            <w:fldChar w:fldCharType="separate"/>
          </w:r>
          <w:r>
            <w:rPr>
              <w:i/>
              <w:color w:val="666666"/>
              <w:sz w:val="18"/>
              <w:szCs w:val="18"/>
            </w:rPr>
            <w:t>9</w:t>
          </w:r>
          <w:r>
            <w:fldChar w:fldCharType="end"/>
          </w:r>
        </w:p>
        <w:p w:rsidR="007D7E84" w:rsidRDefault="00CC1370">
          <w:pPr>
            <w:tabs>
              <w:tab w:val="right" w:pos="9360"/>
            </w:tabs>
            <w:spacing w:before="60"/>
            <w:ind w:left="360"/>
            <w:rPr>
              <w:i/>
              <w:color w:val="666666"/>
              <w:sz w:val="18"/>
              <w:szCs w:val="18"/>
            </w:rPr>
          </w:pPr>
          <w:hyperlink w:anchor="_pjpie53j4wm3">
            <w:r>
              <w:rPr>
                <w:i/>
                <w:color w:val="666666"/>
                <w:sz w:val="18"/>
                <w:szCs w:val="18"/>
              </w:rPr>
              <w:t>Approach</w:t>
            </w:r>
          </w:hyperlink>
          <w:r>
            <w:rPr>
              <w:i/>
              <w:color w:val="666666"/>
              <w:sz w:val="18"/>
              <w:szCs w:val="18"/>
            </w:rPr>
            <w:tab/>
          </w:r>
          <w:r>
            <w:fldChar w:fldCharType="begin"/>
          </w:r>
          <w:r>
            <w:instrText xml:space="preserve"> PAGEREF _pjpie53j4wm</w:instrText>
          </w:r>
          <w:r>
            <w:instrText xml:space="preserve">3 \h </w:instrText>
          </w:r>
          <w:r>
            <w:fldChar w:fldCharType="separate"/>
          </w:r>
          <w:r>
            <w:rPr>
              <w:i/>
              <w:color w:val="666666"/>
              <w:sz w:val="18"/>
              <w:szCs w:val="18"/>
            </w:rPr>
            <w:t>9</w:t>
          </w:r>
          <w:r>
            <w:fldChar w:fldCharType="end"/>
          </w:r>
        </w:p>
        <w:p w:rsidR="007D7E84" w:rsidRDefault="00CC1370">
          <w:pPr>
            <w:tabs>
              <w:tab w:val="right" w:pos="9360"/>
            </w:tabs>
            <w:spacing w:before="60"/>
            <w:ind w:left="360"/>
            <w:rPr>
              <w:i/>
              <w:color w:val="666666"/>
              <w:sz w:val="18"/>
              <w:szCs w:val="18"/>
            </w:rPr>
          </w:pPr>
          <w:hyperlink w:anchor="_l0cdyhluqayb">
            <w:r>
              <w:rPr>
                <w:i/>
                <w:color w:val="666666"/>
                <w:sz w:val="18"/>
                <w:szCs w:val="18"/>
              </w:rPr>
              <w:t>Activities</w:t>
            </w:r>
          </w:hyperlink>
          <w:r>
            <w:rPr>
              <w:i/>
              <w:color w:val="666666"/>
              <w:sz w:val="18"/>
              <w:szCs w:val="18"/>
            </w:rPr>
            <w:tab/>
          </w:r>
          <w:r>
            <w:fldChar w:fldCharType="begin"/>
          </w:r>
          <w:r>
            <w:instrText xml:space="preserve"> PAGEREF _l0cdyhluqayb \h </w:instrText>
          </w:r>
          <w:r>
            <w:fldChar w:fldCharType="separate"/>
          </w:r>
          <w:r>
            <w:rPr>
              <w:i/>
              <w:color w:val="666666"/>
              <w:sz w:val="18"/>
              <w:szCs w:val="18"/>
            </w:rPr>
            <w:t>10</w:t>
          </w:r>
          <w:r>
            <w:fldChar w:fldCharType="end"/>
          </w:r>
        </w:p>
        <w:p w:rsidR="007D7E84" w:rsidRDefault="00CC1370">
          <w:pPr>
            <w:tabs>
              <w:tab w:val="right" w:pos="9360"/>
            </w:tabs>
            <w:spacing w:before="60"/>
            <w:ind w:left="720"/>
            <w:rPr>
              <w:i/>
              <w:color w:val="666666"/>
              <w:sz w:val="18"/>
              <w:szCs w:val="18"/>
            </w:rPr>
          </w:pPr>
          <w:hyperlink w:anchor="_5h7w542u87v9">
            <w:r>
              <w:rPr>
                <w:i/>
                <w:color w:val="666666"/>
                <w:sz w:val="18"/>
                <w:szCs w:val="18"/>
              </w:rPr>
              <w:t>Activity 1: Synthesize diverse sources of current knowledge regarding climate change effects on the Bering Sea ecosystem, including longer-term projections and forecasting.</w:t>
            </w:r>
          </w:hyperlink>
          <w:r>
            <w:rPr>
              <w:i/>
              <w:color w:val="666666"/>
              <w:sz w:val="18"/>
              <w:szCs w:val="18"/>
            </w:rPr>
            <w:tab/>
          </w:r>
          <w:r>
            <w:fldChar w:fldCharType="begin"/>
          </w:r>
          <w:r>
            <w:instrText xml:space="preserve"> PAGEREF _5h7w542u87v9 \h </w:instrText>
          </w:r>
          <w:r>
            <w:fldChar w:fldCharType="separate"/>
          </w:r>
          <w:r>
            <w:rPr>
              <w:i/>
              <w:color w:val="666666"/>
              <w:sz w:val="18"/>
              <w:szCs w:val="18"/>
            </w:rPr>
            <w:t>10</w:t>
          </w:r>
          <w:r>
            <w:fldChar w:fldCharType="end"/>
          </w:r>
        </w:p>
        <w:p w:rsidR="007D7E84" w:rsidRDefault="00CC1370">
          <w:pPr>
            <w:tabs>
              <w:tab w:val="right" w:pos="9360"/>
            </w:tabs>
            <w:spacing w:before="60"/>
            <w:ind w:left="720"/>
            <w:rPr>
              <w:i/>
              <w:color w:val="666666"/>
              <w:sz w:val="18"/>
              <w:szCs w:val="18"/>
            </w:rPr>
          </w:pPr>
          <w:hyperlink w:anchor="_3gjpod920zzo">
            <w:r>
              <w:rPr>
                <w:i/>
                <w:color w:val="666666"/>
                <w:sz w:val="18"/>
                <w:szCs w:val="18"/>
              </w:rPr>
              <w:t>Activity 2: Identify and analyze the risks and probabilities of success for potential climate-resilient management measures and policies under future scenarios of change.</w:t>
            </w:r>
          </w:hyperlink>
          <w:r>
            <w:rPr>
              <w:i/>
              <w:color w:val="666666"/>
              <w:sz w:val="18"/>
              <w:szCs w:val="18"/>
            </w:rPr>
            <w:tab/>
          </w:r>
          <w:r>
            <w:fldChar w:fldCharType="begin"/>
          </w:r>
          <w:r>
            <w:instrText xml:space="preserve"> P</w:instrText>
          </w:r>
          <w:r>
            <w:instrText xml:space="preserve">AGEREF _3gjpod920zzo \h </w:instrText>
          </w:r>
          <w:r>
            <w:fldChar w:fldCharType="separate"/>
          </w:r>
          <w:r>
            <w:rPr>
              <w:i/>
              <w:color w:val="666666"/>
              <w:sz w:val="18"/>
              <w:szCs w:val="18"/>
            </w:rPr>
            <w:t>11</w:t>
          </w:r>
          <w:r>
            <w:fldChar w:fldCharType="end"/>
          </w:r>
        </w:p>
        <w:p w:rsidR="007D7E84" w:rsidRDefault="00CC1370">
          <w:pPr>
            <w:tabs>
              <w:tab w:val="right" w:pos="9360"/>
            </w:tabs>
            <w:spacing w:before="60"/>
            <w:ind w:left="720"/>
            <w:rPr>
              <w:i/>
              <w:color w:val="666666"/>
              <w:sz w:val="18"/>
              <w:szCs w:val="18"/>
            </w:rPr>
          </w:pPr>
          <w:hyperlink w:anchor="_vl4g927h3f3">
            <w:r>
              <w:rPr>
                <w:i/>
                <w:color w:val="666666"/>
                <w:sz w:val="18"/>
                <w:szCs w:val="18"/>
              </w:rPr>
              <w:t>Activity 3: Provide recommendations for short-, medium-, and long-term actions that could be considered and initiated by the C</w:t>
            </w:r>
            <w:r>
              <w:rPr>
                <w:i/>
                <w:color w:val="666666"/>
                <w:sz w:val="18"/>
                <w:szCs w:val="18"/>
              </w:rPr>
              <w:t>ouncil.</w:t>
            </w:r>
          </w:hyperlink>
          <w:r>
            <w:rPr>
              <w:i/>
              <w:color w:val="666666"/>
              <w:sz w:val="18"/>
              <w:szCs w:val="18"/>
            </w:rPr>
            <w:tab/>
          </w:r>
          <w:r>
            <w:fldChar w:fldCharType="begin"/>
          </w:r>
          <w:r>
            <w:instrText xml:space="preserve"> PAGEREF _vl4g927h3f3 \h </w:instrText>
          </w:r>
          <w:r>
            <w:fldChar w:fldCharType="separate"/>
          </w:r>
          <w:r>
            <w:rPr>
              <w:i/>
              <w:color w:val="666666"/>
              <w:sz w:val="18"/>
              <w:szCs w:val="18"/>
            </w:rPr>
            <w:t>11</w:t>
          </w:r>
          <w:r>
            <w:fldChar w:fldCharType="end"/>
          </w:r>
        </w:p>
        <w:p w:rsidR="007D7E84" w:rsidRDefault="00CC1370">
          <w:pPr>
            <w:tabs>
              <w:tab w:val="right" w:pos="9360"/>
            </w:tabs>
            <w:spacing w:before="60"/>
            <w:ind w:left="1080"/>
            <w:rPr>
              <w:i/>
              <w:color w:val="666666"/>
              <w:sz w:val="18"/>
              <w:szCs w:val="18"/>
            </w:rPr>
          </w:pPr>
          <w:hyperlink w:anchor="_r7ww7favo3b9">
            <w:r>
              <w:rPr>
                <w:i/>
                <w:color w:val="666666"/>
                <w:sz w:val="18"/>
                <w:szCs w:val="18"/>
              </w:rPr>
              <w:t>Figure 4. Climate change impacts on marine systems. From Alisson and Bassett 2015.</w:t>
            </w:r>
          </w:hyperlink>
          <w:r>
            <w:rPr>
              <w:i/>
              <w:color w:val="666666"/>
              <w:sz w:val="18"/>
              <w:szCs w:val="18"/>
            </w:rPr>
            <w:tab/>
          </w:r>
          <w:r>
            <w:fldChar w:fldCharType="begin"/>
          </w:r>
          <w:r>
            <w:instrText xml:space="preserve"> PAGEREF _r7ww7favo3b9 \h </w:instrText>
          </w:r>
          <w:r>
            <w:fldChar w:fldCharType="separate"/>
          </w:r>
          <w:r>
            <w:rPr>
              <w:i/>
              <w:color w:val="666666"/>
              <w:sz w:val="18"/>
              <w:szCs w:val="18"/>
            </w:rPr>
            <w:t>13</w:t>
          </w:r>
          <w:r>
            <w:fldChar w:fldCharType="end"/>
          </w:r>
        </w:p>
        <w:p w:rsidR="007D7E84" w:rsidRDefault="00CC1370">
          <w:pPr>
            <w:tabs>
              <w:tab w:val="right" w:pos="9360"/>
            </w:tabs>
            <w:spacing w:before="60"/>
            <w:ind w:left="360"/>
            <w:rPr>
              <w:i/>
              <w:color w:val="666666"/>
              <w:sz w:val="18"/>
              <w:szCs w:val="18"/>
            </w:rPr>
          </w:pPr>
          <w:hyperlink w:anchor="_jz7g9l4fgvnn">
            <w:r>
              <w:rPr>
                <w:i/>
                <w:color w:val="666666"/>
                <w:sz w:val="18"/>
                <w:szCs w:val="18"/>
              </w:rPr>
              <w:t>Implementation in Council process</w:t>
            </w:r>
          </w:hyperlink>
          <w:r>
            <w:rPr>
              <w:i/>
              <w:color w:val="666666"/>
              <w:sz w:val="18"/>
              <w:szCs w:val="18"/>
            </w:rPr>
            <w:tab/>
          </w:r>
          <w:r>
            <w:fldChar w:fldCharType="begin"/>
          </w:r>
          <w:r>
            <w:instrText xml:space="preserve"> PAGERE</w:instrText>
          </w:r>
          <w:r>
            <w:instrText xml:space="preserve">F _jz7g9l4fgvnn \h </w:instrText>
          </w:r>
          <w:r>
            <w:fldChar w:fldCharType="separate"/>
          </w:r>
          <w:r>
            <w:rPr>
              <w:i/>
              <w:color w:val="666666"/>
              <w:sz w:val="18"/>
              <w:szCs w:val="18"/>
            </w:rPr>
            <w:t>13</w:t>
          </w:r>
          <w:r>
            <w:fldChar w:fldCharType="end"/>
          </w:r>
        </w:p>
        <w:p w:rsidR="007D7E84" w:rsidRDefault="00CC1370">
          <w:pPr>
            <w:tabs>
              <w:tab w:val="right" w:pos="9360"/>
            </w:tabs>
            <w:spacing w:before="60"/>
            <w:ind w:left="1080"/>
            <w:rPr>
              <w:i/>
              <w:color w:val="666666"/>
              <w:sz w:val="18"/>
              <w:szCs w:val="18"/>
            </w:rPr>
          </w:pPr>
          <w:hyperlink w:anchor="_z455013m66hg">
            <w:r>
              <w:rPr>
                <w:i/>
                <w:color w:val="666666"/>
                <w:sz w:val="18"/>
                <w:szCs w:val="18"/>
              </w:rPr>
              <w:t>Figure 5. Climate Change Task Force process for synthesis and delivery of information to the Council to support climate-informed ma</w:t>
            </w:r>
            <w:r>
              <w:rPr>
                <w:i/>
                <w:color w:val="666666"/>
                <w:sz w:val="18"/>
                <w:szCs w:val="18"/>
              </w:rPr>
              <w:t>nagement in the Bering Sea.</w:t>
            </w:r>
          </w:hyperlink>
          <w:r>
            <w:rPr>
              <w:i/>
              <w:color w:val="666666"/>
              <w:sz w:val="18"/>
              <w:szCs w:val="18"/>
            </w:rPr>
            <w:tab/>
          </w:r>
          <w:r>
            <w:fldChar w:fldCharType="begin"/>
          </w:r>
          <w:r>
            <w:instrText xml:space="preserve"> PAGEREF _z455013m66hg \h </w:instrText>
          </w:r>
          <w:r>
            <w:fldChar w:fldCharType="separate"/>
          </w:r>
          <w:r>
            <w:rPr>
              <w:i/>
              <w:color w:val="666666"/>
              <w:sz w:val="18"/>
              <w:szCs w:val="18"/>
            </w:rPr>
            <w:t>14</w:t>
          </w:r>
          <w:r>
            <w:fldChar w:fldCharType="end"/>
          </w:r>
        </w:p>
        <w:p w:rsidR="007D7E84" w:rsidRDefault="00CC1370">
          <w:pPr>
            <w:tabs>
              <w:tab w:val="right" w:pos="9360"/>
            </w:tabs>
            <w:spacing w:before="60"/>
            <w:ind w:left="360"/>
            <w:rPr>
              <w:i/>
              <w:color w:val="666666"/>
              <w:sz w:val="18"/>
              <w:szCs w:val="18"/>
            </w:rPr>
          </w:pPr>
          <w:hyperlink w:anchor="_afw50o5yj4yu">
            <w:r>
              <w:rPr>
                <w:i/>
                <w:color w:val="666666"/>
                <w:sz w:val="18"/>
                <w:szCs w:val="18"/>
              </w:rPr>
              <w:t>How Action Module will interface with existing work</w:t>
            </w:r>
          </w:hyperlink>
          <w:r>
            <w:rPr>
              <w:i/>
              <w:color w:val="666666"/>
              <w:sz w:val="18"/>
              <w:szCs w:val="18"/>
            </w:rPr>
            <w:tab/>
          </w:r>
          <w:r>
            <w:fldChar w:fldCharType="begin"/>
          </w:r>
          <w:r>
            <w:instrText xml:space="preserve"> PAGEREF _afw50o5yj4yu \h </w:instrText>
          </w:r>
          <w:r>
            <w:fldChar w:fldCharType="separate"/>
          </w:r>
          <w:r>
            <w:rPr>
              <w:i/>
              <w:color w:val="666666"/>
              <w:sz w:val="18"/>
              <w:szCs w:val="18"/>
            </w:rPr>
            <w:t>15</w:t>
          </w:r>
          <w:r>
            <w:fldChar w:fldCharType="end"/>
          </w:r>
        </w:p>
        <w:p w:rsidR="007D7E84" w:rsidRDefault="00CC1370">
          <w:pPr>
            <w:tabs>
              <w:tab w:val="right" w:pos="9360"/>
            </w:tabs>
            <w:spacing w:before="60"/>
            <w:ind w:left="360"/>
            <w:rPr>
              <w:i/>
              <w:color w:val="666666"/>
              <w:sz w:val="18"/>
              <w:szCs w:val="18"/>
            </w:rPr>
          </w:pPr>
          <w:hyperlink w:anchor="_j2v8fgxmr7bj">
            <w:r>
              <w:rPr>
                <w:i/>
                <w:color w:val="666666"/>
                <w:sz w:val="18"/>
                <w:szCs w:val="18"/>
              </w:rPr>
              <w:t>Deliverables and tracking progress</w:t>
            </w:r>
          </w:hyperlink>
          <w:r>
            <w:rPr>
              <w:i/>
              <w:color w:val="666666"/>
              <w:sz w:val="18"/>
              <w:szCs w:val="18"/>
            </w:rPr>
            <w:tab/>
          </w:r>
          <w:r>
            <w:fldChar w:fldCharType="begin"/>
          </w:r>
          <w:r>
            <w:instrText xml:space="preserve"> PAGEREF _j2v8fgxmr7bj \h </w:instrText>
          </w:r>
          <w:r>
            <w:fldChar w:fldCharType="separate"/>
          </w:r>
          <w:r>
            <w:rPr>
              <w:i/>
              <w:color w:val="666666"/>
              <w:sz w:val="18"/>
              <w:szCs w:val="18"/>
            </w:rPr>
            <w:t>15</w:t>
          </w:r>
          <w:r>
            <w:fldChar w:fldCharType="end"/>
          </w:r>
        </w:p>
        <w:p w:rsidR="007D7E84" w:rsidRDefault="00CC1370">
          <w:pPr>
            <w:tabs>
              <w:tab w:val="right" w:pos="9360"/>
            </w:tabs>
            <w:spacing w:before="200"/>
            <w:rPr>
              <w:b/>
              <w:i/>
              <w:color w:val="666666"/>
              <w:sz w:val="18"/>
              <w:szCs w:val="18"/>
            </w:rPr>
          </w:pPr>
          <w:hyperlink w:anchor="_cftneq7v7j4">
            <w:r>
              <w:rPr>
                <w:b/>
                <w:i/>
                <w:color w:val="666666"/>
                <w:sz w:val="18"/>
                <w:szCs w:val="18"/>
              </w:rPr>
              <w:t>Milestones</w:t>
            </w:r>
          </w:hyperlink>
          <w:r>
            <w:rPr>
              <w:b/>
              <w:i/>
              <w:color w:val="666666"/>
              <w:sz w:val="18"/>
              <w:szCs w:val="18"/>
            </w:rPr>
            <w:tab/>
          </w:r>
          <w:r>
            <w:fldChar w:fldCharType="begin"/>
          </w:r>
          <w:r>
            <w:instrText xml:space="preserve"> PAGEREF _cftneq7v7j4 \h </w:instrText>
          </w:r>
          <w:r>
            <w:fldChar w:fldCharType="separate"/>
          </w:r>
          <w:r>
            <w:rPr>
              <w:b/>
              <w:i/>
              <w:color w:val="666666"/>
              <w:sz w:val="18"/>
              <w:szCs w:val="18"/>
            </w:rPr>
            <w:t>16</w:t>
          </w:r>
          <w:r>
            <w:fldChar w:fldCharType="end"/>
          </w:r>
        </w:p>
        <w:p w:rsidR="007D7E84" w:rsidRDefault="00CC1370">
          <w:pPr>
            <w:tabs>
              <w:tab w:val="right" w:pos="9360"/>
            </w:tabs>
            <w:spacing w:before="200"/>
            <w:rPr>
              <w:b/>
              <w:i/>
              <w:color w:val="666666"/>
              <w:sz w:val="18"/>
              <w:szCs w:val="18"/>
            </w:rPr>
          </w:pPr>
          <w:hyperlink w:anchor="_480oig94dgrv">
            <w:r>
              <w:rPr>
                <w:b/>
                <w:i/>
                <w:color w:val="666666"/>
                <w:sz w:val="18"/>
                <w:szCs w:val="18"/>
              </w:rPr>
              <w:t>Requests for Council feedback</w:t>
            </w:r>
          </w:hyperlink>
          <w:r>
            <w:rPr>
              <w:b/>
              <w:i/>
              <w:color w:val="666666"/>
              <w:sz w:val="18"/>
              <w:szCs w:val="18"/>
            </w:rPr>
            <w:tab/>
          </w:r>
          <w:r>
            <w:fldChar w:fldCharType="begin"/>
          </w:r>
          <w:r>
            <w:instrText xml:space="preserve"> PAGEREF _480oig94dgrv \h </w:instrText>
          </w:r>
          <w:r>
            <w:fldChar w:fldCharType="separate"/>
          </w:r>
          <w:r>
            <w:rPr>
              <w:b/>
              <w:i/>
              <w:color w:val="666666"/>
              <w:sz w:val="18"/>
              <w:szCs w:val="18"/>
            </w:rPr>
            <w:t>17</w:t>
          </w:r>
          <w:r>
            <w:fldChar w:fldCharType="end"/>
          </w:r>
        </w:p>
        <w:p w:rsidR="007D7E84" w:rsidRDefault="00CC1370">
          <w:pPr>
            <w:tabs>
              <w:tab w:val="right" w:pos="9360"/>
            </w:tabs>
            <w:spacing w:before="200"/>
            <w:rPr>
              <w:b/>
              <w:i/>
              <w:color w:val="666666"/>
              <w:sz w:val="18"/>
              <w:szCs w:val="18"/>
            </w:rPr>
          </w:pPr>
          <w:hyperlink w:anchor="_as40n2sbmnyb">
            <w:r>
              <w:rPr>
                <w:b/>
                <w:i/>
                <w:color w:val="666666"/>
                <w:sz w:val="18"/>
                <w:szCs w:val="18"/>
              </w:rPr>
              <w:t>References</w:t>
            </w:r>
          </w:hyperlink>
          <w:r>
            <w:rPr>
              <w:b/>
              <w:i/>
              <w:color w:val="666666"/>
              <w:sz w:val="18"/>
              <w:szCs w:val="18"/>
            </w:rPr>
            <w:tab/>
          </w:r>
          <w:r>
            <w:fldChar w:fldCharType="begin"/>
          </w:r>
          <w:r>
            <w:instrText xml:space="preserve"> PAGEREF _as40n2sbmnyb \h </w:instrText>
          </w:r>
          <w:r>
            <w:fldChar w:fldCharType="separate"/>
          </w:r>
          <w:r>
            <w:rPr>
              <w:b/>
              <w:i/>
              <w:color w:val="666666"/>
              <w:sz w:val="18"/>
              <w:szCs w:val="18"/>
            </w:rPr>
            <w:t>17</w:t>
          </w:r>
          <w:r>
            <w:fldChar w:fldCharType="end"/>
          </w:r>
        </w:p>
        <w:p w:rsidR="007D7E84" w:rsidRDefault="00CC1370">
          <w:pPr>
            <w:tabs>
              <w:tab w:val="right" w:pos="9360"/>
            </w:tabs>
            <w:spacing w:before="200"/>
            <w:rPr>
              <w:b/>
              <w:i/>
              <w:color w:val="666666"/>
              <w:sz w:val="18"/>
              <w:szCs w:val="18"/>
            </w:rPr>
          </w:pPr>
          <w:hyperlink w:anchor="_hf9exc79d4h9">
            <w:r>
              <w:rPr>
                <w:b/>
                <w:i/>
                <w:color w:val="666666"/>
                <w:sz w:val="18"/>
                <w:szCs w:val="18"/>
              </w:rPr>
              <w:t>Appendix 2: Membership of Climate Change Taskforce</w:t>
            </w:r>
          </w:hyperlink>
          <w:r>
            <w:rPr>
              <w:b/>
              <w:i/>
              <w:color w:val="666666"/>
              <w:sz w:val="18"/>
              <w:szCs w:val="18"/>
            </w:rPr>
            <w:tab/>
          </w:r>
          <w:r>
            <w:fldChar w:fldCharType="begin"/>
          </w:r>
          <w:r>
            <w:instrText xml:space="preserve"> PAGEREF _hf9exc79d4h9 \h </w:instrText>
          </w:r>
          <w:r>
            <w:fldChar w:fldCharType="separate"/>
          </w:r>
          <w:r>
            <w:rPr>
              <w:b/>
              <w:i/>
              <w:color w:val="666666"/>
              <w:sz w:val="18"/>
              <w:szCs w:val="18"/>
            </w:rPr>
            <w:t>21</w:t>
          </w:r>
          <w:r>
            <w:fldChar w:fldCharType="end"/>
          </w:r>
        </w:p>
        <w:p w:rsidR="007D7E84" w:rsidRDefault="00CC1370">
          <w:pPr>
            <w:tabs>
              <w:tab w:val="right" w:pos="9360"/>
            </w:tabs>
            <w:spacing w:before="200" w:after="80"/>
            <w:rPr>
              <w:b/>
              <w:i/>
              <w:color w:val="666666"/>
              <w:sz w:val="18"/>
              <w:szCs w:val="18"/>
            </w:rPr>
          </w:pPr>
          <w:hyperlink w:anchor="_fm8c8tuoybk7">
            <w:r>
              <w:rPr>
                <w:b/>
                <w:i/>
                <w:color w:val="666666"/>
                <w:sz w:val="18"/>
                <w:szCs w:val="18"/>
              </w:rPr>
              <w:t>Appendix 3: Case study criteria</w:t>
            </w:r>
          </w:hyperlink>
          <w:r>
            <w:rPr>
              <w:b/>
              <w:i/>
              <w:color w:val="666666"/>
              <w:sz w:val="18"/>
              <w:szCs w:val="18"/>
            </w:rPr>
            <w:tab/>
          </w:r>
          <w:r>
            <w:fldChar w:fldCharType="begin"/>
          </w:r>
          <w:r>
            <w:instrText xml:space="preserve"> PAGEREF _fm8c8tuoybk7 \h </w:instrText>
          </w:r>
          <w:r>
            <w:fldChar w:fldCharType="separate"/>
          </w:r>
          <w:r>
            <w:rPr>
              <w:b/>
              <w:i/>
              <w:color w:val="666666"/>
              <w:sz w:val="18"/>
              <w:szCs w:val="18"/>
            </w:rPr>
            <w:t>21</w:t>
          </w:r>
          <w:r>
            <w:fldChar w:fldCharType="end"/>
          </w:r>
          <w:r>
            <w:fldChar w:fldCharType="end"/>
          </w:r>
        </w:p>
      </w:sdtContent>
    </w:sdt>
    <w:p w:rsidR="007D7E84" w:rsidRDefault="007D7E84">
      <w:pPr>
        <w:pStyle w:val="Heading1"/>
      </w:pPr>
      <w:bookmarkStart w:id="6" w:name="_sn103qr8xhyu" w:colFirst="0" w:colLast="0"/>
      <w:bookmarkEnd w:id="6"/>
    </w:p>
    <w:p w:rsidR="007D7E84" w:rsidRDefault="00CC1370">
      <w:pPr>
        <w:pStyle w:val="Heading1"/>
      </w:pPr>
      <w:bookmarkStart w:id="7" w:name="_z6d2oy5b273a" w:colFirst="0" w:colLast="0"/>
      <w:bookmarkEnd w:id="7"/>
      <w:r>
        <w:pict>
          <v:rect id="_x0000_i1026" style="width:0;height:1.5pt" o:hralign="center" o:hrstd="t" o:hr="t" fillcolor="#a0a0a0" stroked="f"/>
        </w:pict>
      </w:r>
    </w:p>
    <w:p w:rsidR="007D7E84" w:rsidRDefault="00CC1370">
      <w:pPr>
        <w:pStyle w:val="Heading1"/>
      </w:pPr>
      <w:bookmarkStart w:id="8" w:name="_gkvl1owf4c50" w:colFirst="0" w:colLast="0"/>
      <w:bookmarkEnd w:id="8"/>
      <w:r>
        <w:t>Executive summary</w:t>
      </w:r>
    </w:p>
    <w:p w:rsidR="007D7E84" w:rsidRDefault="00CC1370">
      <w:pPr>
        <w:rPr>
          <w:b/>
        </w:rPr>
      </w:pPr>
      <w:r>
        <w:rPr>
          <w:b/>
        </w:rPr>
        <w:t>Why:</w:t>
      </w:r>
    </w:p>
    <w:p w:rsidR="007D7E84" w:rsidRDefault="00CC1370">
      <w:r>
        <w:rPr>
          <w:b/>
        </w:rPr>
        <w:t>What</w:t>
      </w:r>
      <w:r>
        <w:t xml:space="preserve"> is currently missing/ need for the module</w:t>
      </w:r>
    </w:p>
    <w:p w:rsidR="007D7E84" w:rsidRDefault="00CC1370">
      <w:r>
        <w:t>Added value of the module</w:t>
      </w:r>
    </w:p>
    <w:p w:rsidR="007D7E84" w:rsidRDefault="00CC1370">
      <w:r>
        <w:t>Goal:</w:t>
      </w:r>
    </w:p>
    <w:p w:rsidR="007D7E84" w:rsidRDefault="00CC1370">
      <w:pPr>
        <w:rPr>
          <w:b/>
        </w:rPr>
      </w:pPr>
      <w:r>
        <w:rPr>
          <w:b/>
        </w:rPr>
        <w:t xml:space="preserve">Who: </w:t>
      </w:r>
    </w:p>
    <w:p w:rsidR="007D7E84" w:rsidRDefault="00CC1370">
      <w:r>
        <w:t>Council with support of the CCTF in coordination with x,y,z</w:t>
      </w:r>
    </w:p>
    <w:p w:rsidR="007D7E84" w:rsidRDefault="00CC1370">
      <w:pPr>
        <w:rPr>
          <w:b/>
        </w:rPr>
      </w:pPr>
      <w:r>
        <w:rPr>
          <w:b/>
        </w:rPr>
        <w:t>How:</w:t>
      </w:r>
    </w:p>
    <w:p w:rsidR="007D7E84" w:rsidRDefault="00CC1370">
      <w:r>
        <w:t>Module actions</w:t>
      </w:r>
    </w:p>
    <w:p w:rsidR="007D7E84" w:rsidRDefault="00CC1370">
      <w:r>
        <w:t>Overarching Work Plan:</w:t>
      </w:r>
    </w:p>
    <w:p w:rsidR="007D7E84" w:rsidRDefault="00CC1370">
      <w:pPr>
        <w:numPr>
          <w:ilvl w:val="0"/>
          <w:numId w:val="3"/>
        </w:numPr>
      </w:pPr>
      <w:r>
        <w:t>Synthesize</w:t>
      </w:r>
    </w:p>
    <w:p w:rsidR="007D7E84" w:rsidRDefault="00CC1370">
      <w:pPr>
        <w:numPr>
          <w:ilvl w:val="0"/>
          <w:numId w:val="3"/>
        </w:numPr>
      </w:pPr>
      <w:r>
        <w:t>Evaluate</w:t>
      </w:r>
    </w:p>
    <w:p w:rsidR="007D7E84" w:rsidRDefault="00CC1370">
      <w:pPr>
        <w:numPr>
          <w:ilvl w:val="0"/>
          <w:numId w:val="3"/>
        </w:numPr>
      </w:pPr>
      <w:r>
        <w:t xml:space="preserve">Recommend </w:t>
      </w:r>
    </w:p>
    <w:p w:rsidR="007D7E84" w:rsidRDefault="00CC1370">
      <w:r>
        <w:rPr>
          <w:b/>
        </w:rPr>
        <w:t xml:space="preserve">When: </w:t>
      </w:r>
      <w:r>
        <w:t>Timeline</w:t>
      </w:r>
    </w:p>
    <w:p w:rsidR="007D7E84" w:rsidRDefault="00CC1370">
      <w:pPr>
        <w:rPr>
          <w:b/>
        </w:rPr>
      </w:pPr>
      <w:r>
        <w:rPr>
          <w:b/>
        </w:rPr>
        <w:t>What:</w:t>
      </w:r>
    </w:p>
    <w:p w:rsidR="007D7E84" w:rsidRDefault="00CC1370">
      <w:r>
        <w:t>products/outputs</w:t>
      </w:r>
    </w:p>
    <w:p w:rsidR="007D7E84" w:rsidRDefault="007D7E84"/>
    <w:p w:rsidR="007D7E84" w:rsidRDefault="00CC1370">
      <w:r>
        <w:t>Elements of this summary: Goal, Activities/Work Plan (with key sub-bullets), Results/Products ???</w:t>
      </w:r>
    </w:p>
    <w:p w:rsidR="007D7E84" w:rsidRDefault="00CC1370">
      <w:r>
        <w:t>This module, by doing the following:</w:t>
      </w:r>
    </w:p>
    <w:p w:rsidR="007D7E84" w:rsidRDefault="00CC1370">
      <w:r>
        <w:t>XYZ</w:t>
      </w:r>
    </w:p>
    <w:p w:rsidR="007D7E84" w:rsidRDefault="00CC1370">
      <w:r>
        <w:t>Support the NPFMC’s capacity to:</w:t>
      </w:r>
    </w:p>
    <w:p w:rsidR="007D7E84" w:rsidRDefault="00CC1370">
      <w:r>
        <w:t>XYZ</w:t>
      </w:r>
    </w:p>
    <w:p w:rsidR="007D7E84" w:rsidRDefault="00CC1370">
      <w:r>
        <w:t>And use the same terms (e.g. goals, activities, etc. as below,</w:t>
      </w:r>
      <w:r>
        <w:t xml:space="preserve"> and possibly hyperlink)</w:t>
      </w:r>
    </w:p>
    <w:p w:rsidR="007D7E84" w:rsidRDefault="007D7E84"/>
    <w:p w:rsidR="007D7E84" w:rsidRDefault="00CC1370">
      <w:pPr>
        <w:pStyle w:val="Heading1"/>
      </w:pPr>
      <w:bookmarkStart w:id="9" w:name="_tyjcwt" w:colFirst="0" w:colLast="0"/>
      <w:bookmarkEnd w:id="9"/>
      <w:r>
        <w:br w:type="page"/>
      </w:r>
    </w:p>
    <w:p w:rsidR="007D7E84" w:rsidRDefault="00CC1370">
      <w:pPr>
        <w:pStyle w:val="Heading1"/>
      </w:pPr>
      <w:bookmarkStart w:id="10" w:name="_a4d3vpry3xx" w:colFirst="0" w:colLast="0"/>
      <w:bookmarkEnd w:id="10"/>
      <w:r>
        <w:lastRenderedPageBreak/>
        <w:t>Introduction</w:t>
      </w:r>
    </w:p>
    <w:p w:rsidR="007D7E84" w:rsidRDefault="00CC1370">
      <w:r>
        <w:t>The Bering Sea is characterized by a strong connection between the marine system, coastal communities and regional fisheries that support the region’s cultures, food security and well-being. Subsistence and commerci</w:t>
      </w:r>
      <w:r>
        <w:t>al fisheries in the Bering Sea support economic vitality, social prosperity, and food security both within and outside of Alaska (Dumas, 1984; Fall et al., 2013; Haynie and Huntington, 2016; Raymond-Yakoubian et al., 2017; Meredith et al., 2019). Coastal c</w:t>
      </w:r>
      <w:r>
        <w:t>ommunities in the Bering Sea are inextricably connected to the marine ecosystem, and subsistence fisheries and harvests have been critical for the collective well-being and stability of Alaskan communities since time immemorial. For decades, Bering Sea fis</w:t>
      </w:r>
      <w:r>
        <w:t>heries have sustainably supported the largest and most valuable US fisheries and are important for national and global nutrition and food security. One out of every two fish captured annually in the US comes from Alaska, and regional fisheries support a &gt;$</w:t>
      </w:r>
      <w:r>
        <w:t>5 billion 2018 USD fishing industry, nearly half of which is Bering Sea groundfish harvest. Groundfish fisheries in the Bering Sea have a 30+ year history of proactive, science-based adaptive management that has been able to adjust to highly-productive yet</w:t>
      </w:r>
      <w:r>
        <w:t xml:space="preserve"> variable ecosystem dynamics. </w:t>
      </w:r>
    </w:p>
    <w:p w:rsidR="007D7E84" w:rsidRDefault="00CC1370">
      <w:pPr>
        <w:keepNext/>
        <w:spacing w:before="240"/>
        <w:jc w:val="center"/>
      </w:pPr>
      <w:r>
        <w:rPr>
          <w:noProof/>
        </w:rPr>
        <w:drawing>
          <wp:inline distT="0" distB="0" distL="0" distR="0">
            <wp:extent cx="5529263" cy="3553260"/>
            <wp:effectExtent l="12700" t="12700" r="12700" b="127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529263" cy="3553260"/>
                    </a:xfrm>
                    <a:prstGeom prst="rect">
                      <a:avLst/>
                    </a:prstGeom>
                    <a:ln w="12700">
                      <a:solidFill>
                        <a:srgbClr val="000000"/>
                      </a:solidFill>
                      <a:prstDash val="solid"/>
                    </a:ln>
                  </pic:spPr>
                </pic:pic>
              </a:graphicData>
            </a:graphic>
          </wp:inline>
        </w:drawing>
      </w:r>
    </w:p>
    <w:p w:rsidR="007D7E84" w:rsidRDefault="00CC1370">
      <w:pPr>
        <w:pStyle w:val="Heading4"/>
      </w:pPr>
      <w:bookmarkStart w:id="11" w:name="_3dy6vkm" w:colFirst="0" w:colLast="0"/>
      <w:bookmarkEnd w:id="11"/>
      <w:r>
        <w:t>Figure 1.  Proje</w:t>
      </w:r>
      <w:r>
        <w:t>cted end of century changes in sea surface temperature (SST) anomalies relative to historical SST under global carbon mitigation (left) and unmitigated (right) future scenarios. Based on Coupled Model Int</w:t>
      </w:r>
      <w:r>
        <w:t>ercomparison Project (CMIP) 5 ensemble scenarios.</w:t>
      </w:r>
    </w:p>
    <w:p w:rsidR="007D7E84" w:rsidRDefault="00CC1370">
      <w:r>
        <w:t>However, Bering Sea marine systems are driven by ecological processes and climate conditions that are increasingly extreme and difficult to anticipate (e.g., 2016 and 2018 marine heatwaves and associated ne</w:t>
      </w:r>
      <w:r>
        <w:t>gative impacts to seabirds, marine mammals, coastal communities and commercially important groundfish fisheries). The frequency and intensity of marine heatwaves and extreme events in the Bering Sea are projected to increase in coming decades, and conditio</w:t>
      </w:r>
      <w:r>
        <w:t xml:space="preserve">ns are expected to shift markedly over the next 20-50 years (Figure 2; Frölicher et al. 2018, Cheung and Frölicher 2020, Laufkötter et al. 2020, Oliver et al. 2018). Specifically, marine heatwaves may become more commonplace and severe, winter </w:t>
      </w:r>
      <w:r>
        <w:lastRenderedPageBreak/>
        <w:t>and summer w</w:t>
      </w:r>
      <w:r>
        <w:t>ater temperatures are anticipated to increase, and the duration and frequency of productive “cold” multi-year stanzas are projected to decline (Oliver et al., 2019, Laufkötter et al. 2020).</w:t>
      </w:r>
    </w:p>
    <w:p w:rsidR="007D7E84" w:rsidRDefault="00CC1370">
      <w:pPr>
        <w:spacing w:before="120"/>
      </w:pPr>
      <w:r>
        <w:t>Climate change is very likely to continue to cause changes in fish</w:t>
      </w:r>
      <w:r>
        <w:t xml:space="preserve"> distribution, survival, growth, timing, behavior, catchability, and strength of species interactions (Polozinsca et al. 2013, Meredith 2019, Smale et al. 2019). Some of these changes may occur gradually, whereas other species may exhibit sudden threshold-</w:t>
      </w:r>
      <w:r>
        <w:t>like changes in response to changing climate conditions (i.e., as conditions cross ecological “tipping-points”; Lenton et al. 2019). Recent examples include the rapid redistribution  northward from the EBS to the NBS of most of the Pacific cod stock (Steve</w:t>
      </w:r>
      <w:r>
        <w:t>nson et al. 2019, Spies et al. 2020), multitrophic shifts (i.e., phytoplankton through forage fish) in response to low sea ice in 2016-2017 (Duffy-Anderson et al. 2019), and synchronous mortality events of seabirds, whales, and sea ice seals across the Nor</w:t>
      </w:r>
      <w:r>
        <w:t xml:space="preserve">thern Bering sea from 2016-2018 (Piatt et al. 2020). </w:t>
      </w:r>
    </w:p>
    <w:p w:rsidR="007D7E84" w:rsidRDefault="00CC1370">
      <w:r>
        <w:t>Subsistence and commercial fisheries are essential to Bering Sea coastal communities’ cultures, well-being and food security, and as major contributors to national capture fisheries. In addition, Bering Sea fisheries will be an essential contributor to sus</w:t>
      </w:r>
      <w:r>
        <w:t>tainable and affordable nutrition for the future global population of 9 billion people (2050 UN estimate). Use of Indigenous management and stewardship practices can provide robust and adaptive management strategies to ensure marine resource sustainability</w:t>
      </w:r>
      <w:r>
        <w:t xml:space="preserve">, especially in light of changing environmental conditions (Gadamus and Raymond-Yakoubian 2015, Raymond-Yakoubian and Daniel 2018). </w:t>
      </w:r>
    </w:p>
    <w:p w:rsidR="007D7E84" w:rsidRDefault="00CC1370">
      <w:r>
        <w:t>Productive future Bering Sea fisheries and harvests will require efficient and sustainable approaches and implementation of</w:t>
      </w:r>
      <w:r>
        <w:t xml:space="preserve"> cutting edge, “climate-ready” fisheries management tools and policies. Some of these tools may already be in-hand in the context of ecosystem-based management tools (Holsman et al., 2019; Karp et al., 2019) and should be preserved going forward. In additi</w:t>
      </w:r>
      <w:r>
        <w:t>on, long-term and fixed Ecosystem-based fisheries management (EBFM) measures, like the 2 MT cap on groundfish harvest, may be particularly important as climate change affects the Bering Sea system; recent studies indicate such measures can stabilize fisher</w:t>
      </w:r>
      <w:r>
        <w:t>ies and forestall climate driven collapse (Holsman et al. 2020). Similarly, other EBFM measures like protected areas, minimal biomass thresholds, by-catch limits, are by design intended to provide stability and remain stationary even when conditions are va</w:t>
      </w:r>
      <w:r>
        <w:t xml:space="preserve">riable and may be vital as conditions become increasingly anomalous (Holsman et al. 2019). Periodic evaluation of such measures may be needed to ensure they continue to support ecosystem productivity as species distributions and phenology shifts give rise </w:t>
      </w:r>
      <w:r>
        <w:t>to new interactions, altered habitats, and novel management challenges (Holsman et al. 2019, Karp et al. 2019).</w:t>
      </w:r>
      <w:r>
        <w:t xml:space="preserve"> To improve fisheries management in the face of climate change, a portfolio management approach that is robust to climatic uncertaint</w:t>
      </w:r>
      <w:r>
        <w:t>y can be developed.</w:t>
      </w:r>
    </w:p>
    <w:p w:rsidR="007D7E84" w:rsidRDefault="007D7E84"/>
    <w:p w:rsidR="007D7E84" w:rsidRDefault="007D7E84">
      <w:pPr>
        <w:rPr>
          <w:i/>
          <w:color w:val="1F497D"/>
          <w:sz w:val="18"/>
          <w:szCs w:val="18"/>
        </w:rPr>
      </w:pPr>
    </w:p>
    <w:p w:rsidR="007D7E84" w:rsidRDefault="00CC1370">
      <w:pPr>
        <w:pStyle w:val="Heading1"/>
      </w:pPr>
      <w:bookmarkStart w:id="12" w:name="_zg7s0syc7vvn" w:colFirst="0" w:colLast="0"/>
      <w:bookmarkEnd w:id="12"/>
      <w:r>
        <w:t>Module Goal</w:t>
      </w:r>
    </w:p>
    <w:p w:rsidR="007D7E84" w:rsidRDefault="007D7E84">
      <w:pPr>
        <w:ind w:right="720"/>
        <w:jc w:val="both"/>
        <w:rPr>
          <w:rFonts w:ascii="Arial" w:eastAsia="Arial" w:hAnsi="Arial" w:cs="Arial"/>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D7E84">
        <w:tc>
          <w:tcPr>
            <w:tcW w:w="9360" w:type="dxa"/>
            <w:tcBorders>
              <w:top w:val="single" w:sz="8" w:space="0" w:color="FFFFFF"/>
              <w:left w:val="single" w:sz="8" w:space="0" w:color="FFFFFF"/>
              <w:bottom w:val="single" w:sz="8" w:space="0" w:color="FFFFFF"/>
              <w:right w:val="single" w:sz="8" w:space="0" w:color="FFFFFF"/>
            </w:tcBorders>
            <w:shd w:val="clear" w:color="auto" w:fill="D0E0E3"/>
          </w:tcPr>
          <w:p w:rsidR="007D7E84" w:rsidRDefault="007D7E84">
            <w:pPr>
              <w:spacing w:after="0"/>
              <w:ind w:left="720" w:right="720"/>
              <w:jc w:val="both"/>
              <w:rPr>
                <w:rFonts w:ascii="Arial" w:eastAsia="Arial" w:hAnsi="Arial" w:cs="Arial"/>
                <w:sz w:val="24"/>
                <w:szCs w:val="24"/>
              </w:rPr>
            </w:pPr>
          </w:p>
          <w:p w:rsidR="007D7E84" w:rsidRDefault="00CC1370">
            <w:pPr>
              <w:pStyle w:val="Heading2"/>
              <w:spacing w:after="0"/>
              <w:ind w:left="720" w:right="720"/>
              <w:rPr>
                <w:sz w:val="24"/>
                <w:szCs w:val="24"/>
              </w:rPr>
            </w:pPr>
            <w:bookmarkStart w:id="13" w:name="_d40aicxcawp" w:colFirst="0" w:colLast="0"/>
            <w:bookmarkEnd w:id="13"/>
            <w:r>
              <w:lastRenderedPageBreak/>
              <w:t xml:space="preserve">The goal of the Climate Change Module is to facilitate the Council’s work towards both short-term and long-term climate resilience for the coupled social-ecological system of the Bering Sea through equitable climate change adaptation pathways, transparent </w:t>
            </w:r>
            <w:r>
              <w:t>communication, utilization of diverse knowledge sources, and broad engagement.</w:t>
            </w:r>
            <w:r>
              <w:rPr>
                <w:sz w:val="26"/>
                <w:szCs w:val="26"/>
              </w:rPr>
              <w:t xml:space="preserve"> </w:t>
            </w:r>
          </w:p>
        </w:tc>
      </w:tr>
    </w:tbl>
    <w:p w:rsidR="007D7E84" w:rsidRDefault="007D7E84"/>
    <w:p w:rsidR="007D7E84" w:rsidRDefault="00CC1370">
      <w:r>
        <w:t xml:space="preserve">This module </w:t>
      </w:r>
      <w:r>
        <w:t>will support the North Pacific Fishery Management Council’s capacity to</w:t>
      </w:r>
      <w:r>
        <w:t>:</w:t>
      </w:r>
    </w:p>
    <w:p w:rsidR="007D7E84" w:rsidRDefault="00CC1370">
      <w:pPr>
        <w:numPr>
          <w:ilvl w:val="0"/>
          <w:numId w:val="5"/>
        </w:numPr>
        <w:spacing w:after="0"/>
      </w:pPr>
      <w:r>
        <w:t xml:space="preserve">more effectively incorporate climate change information from diverse knowledge holders into the fishery management process through transparent, effective, and dynamic </w:t>
      </w:r>
      <w:r>
        <w:t>communication</w:t>
      </w:r>
      <w:r>
        <w:t xml:space="preserve"> and engagement </w:t>
      </w:r>
      <w:r>
        <w:t>with</w:t>
      </w:r>
      <w:r>
        <w:t xml:space="preserve"> communities, fishers, managers, scientists, and other C</w:t>
      </w:r>
      <w:r>
        <w:t xml:space="preserve">ouncil stakeholders with the Council and Council staff. </w:t>
      </w:r>
    </w:p>
    <w:p w:rsidR="007D7E84" w:rsidRDefault="00CC1370">
      <w:pPr>
        <w:numPr>
          <w:ilvl w:val="0"/>
          <w:numId w:val="5"/>
        </w:numPr>
      </w:pPr>
      <w:r>
        <w:t>evaluate and implement management; measures that can help  preserve livelihoods, economies, health and well-being/ness across fisheries and dependent coastal communities; support near-term and long-t</w:t>
      </w:r>
      <w:r>
        <w:t>erm adaptation to climate change; and ensure the continued productivity and sustainability of the coupled social-ecological Bering Sea system.</w:t>
      </w:r>
    </w:p>
    <w:p w:rsidR="007D7E84" w:rsidRDefault="00CC1370">
      <w:r>
        <w:t>This module addresses the need to incorporate climate change knowledge, science, and information about the Bering</w:t>
      </w:r>
      <w:r>
        <w:t xml:space="preserve"> Sea system (see geographic description in the </w:t>
      </w:r>
      <w:hyperlink r:id="rId9">
        <w:r>
          <w:rPr>
            <w:color w:val="1155CC"/>
            <w:u w:val="single"/>
          </w:rPr>
          <w:t>FEP</w:t>
        </w:r>
      </w:hyperlink>
      <w:r>
        <w:t xml:space="preserve">) throughout the Council process. Current </w:t>
      </w:r>
      <w:r>
        <w:t>information is focused on annual advice and near-term forecasts while a wealth of information is available to inform longer-term strategic planning for the Bering Sea.</w:t>
      </w:r>
    </w:p>
    <w:p w:rsidR="007D7E84" w:rsidRDefault="00CC1370">
      <w:r>
        <w:t>[Figure]</w:t>
      </w:r>
    </w:p>
    <w:p w:rsidR="007D7E84" w:rsidRDefault="00CC1370">
      <w:pPr>
        <w:spacing w:before="280"/>
      </w:pPr>
      <w:r>
        <w:t>[Current mismatch between abundance of climate change information, current adap</w:t>
      </w:r>
      <w:r>
        <w:t>tation actions, and Council process]</w:t>
      </w:r>
    </w:p>
    <w:p w:rsidR="007D7E84" w:rsidRDefault="007D7E84"/>
    <w:p w:rsidR="007D7E84" w:rsidRDefault="00CC1370">
      <w:pPr>
        <w:pStyle w:val="Heading1"/>
      </w:pPr>
      <w:bookmarkStart w:id="14" w:name="_kbqvd5w4r60v" w:colFirst="0" w:colLast="0"/>
      <w:bookmarkEnd w:id="14"/>
      <w:r>
        <w:t>Adaptation and Resilience</w:t>
      </w:r>
    </w:p>
    <w:p w:rsidR="007D7E84" w:rsidRDefault="00CC1370">
      <w:r>
        <w:t>As the CCTF seeks to provide information recommendations to help the Council advance adaptive management that helps ensure resilient ecosystems, fisheries, and communities, it seems wise</w:t>
      </w:r>
      <w:r>
        <w:t xml:space="preserve"> to have working definitions of those terms. </w:t>
      </w:r>
      <w:r>
        <w:t>The IPCC definitions for “adaptation” and “resilience” and the CCTF preliminary definitions of each are provided below and included here as starting points for discussion. The CCTF intends to work collaborati</w:t>
      </w:r>
      <w:r>
        <w:t>vely with stakeholders</w:t>
      </w:r>
      <w:r>
        <w:t xml:space="preserve"> to periodically update and revise theour working definitions of adaptation and resilience that underlie this work plan and Action Mmodule work products.</w:t>
      </w:r>
    </w:p>
    <w:p w:rsidR="007D7E84" w:rsidRDefault="00CC1370">
      <w:pPr>
        <w:keepNext/>
      </w:pPr>
      <w:r>
        <w:rPr>
          <w:rFonts w:ascii="Calibri" w:eastAsia="Calibri" w:hAnsi="Calibri" w:cs="Calibri"/>
          <w:noProof/>
          <w:sz w:val="20"/>
          <w:szCs w:val="20"/>
        </w:rPr>
        <w:lastRenderedPageBreak/>
        <w:drawing>
          <wp:inline distT="114300" distB="114300" distL="114300" distR="114300">
            <wp:extent cx="5943600" cy="38100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943600" cy="3810000"/>
                    </a:xfrm>
                    <a:prstGeom prst="rect">
                      <a:avLst/>
                    </a:prstGeom>
                    <a:ln/>
                  </pic:spPr>
                </pic:pic>
              </a:graphicData>
            </a:graphic>
          </wp:inline>
        </w:drawing>
      </w:r>
    </w:p>
    <w:p w:rsidR="007D7E84" w:rsidRDefault="00CC1370">
      <w:pPr>
        <w:pStyle w:val="Heading4"/>
      </w:pPr>
      <w:bookmarkStart w:id="15" w:name="_gvpep4bkuj61" w:colFirst="0" w:colLast="0"/>
      <w:bookmarkEnd w:id="15"/>
      <w:r>
        <w:t>Figure 2. Climate adaptation pathways.  From Wise et al. 2014.</w:t>
      </w:r>
    </w:p>
    <w:p w:rsidR="007D7E84" w:rsidRDefault="00CC1370">
      <w:pPr>
        <w:pStyle w:val="Heading2"/>
      </w:pPr>
      <w:bookmarkStart w:id="16" w:name="_2xh9crx76uwd" w:colFirst="0" w:colLast="0"/>
      <w:bookmarkEnd w:id="16"/>
      <w:r>
        <w:t>Adaptation</w:t>
      </w:r>
    </w:p>
    <w:p w:rsidR="007D7E84" w:rsidRDefault="00CC1370">
      <w:r>
        <w:t xml:space="preserve">The IPCC defines adaptation as “the process of adjustment to actual or expected climate change and its effects” (IPCC 2014, p. 5). In the context of Bering Sea fisheries, adaptation </w:t>
      </w:r>
      <w:r>
        <w:t>to support climate resilient social-ecological systems includes ecosystem-based management policies that embrace uncertainty, adjust at a rate that is consistent with observed changes (e.g., allows communities and fisheries to adapt in a proactive rather t</w:t>
      </w:r>
      <w:r>
        <w:t>han a solely reactive manner), are inclusive of diverse knowledge sources and information that may change and evolve over time, and consider both direct and indirect impacts and interactions with other species, sectors, and stakeholders and the environment</w:t>
      </w:r>
      <w:r>
        <w:t>. Adaptation can include reactive responses as well as proactive, anticipatory planning and prevention. Adaptation is separate from, but can be synergistic with (i.e., have co-benefits for), “carbon mitigation” measures, which are actions at global or regi</w:t>
      </w:r>
      <w:r>
        <w:t>onal scales that aim to reduce or recapture atmospheric CO</w:t>
      </w:r>
      <w:r>
        <w:rPr>
          <w:vertAlign w:val="subscript"/>
        </w:rPr>
        <w:t>2</w:t>
      </w:r>
      <w:r>
        <w:t>. Climate adaptation is a multi-step and iterative process that includes evaluation of key risks and needs, assessment of available potential tools and approaches, understanding of institutional ca</w:t>
      </w:r>
      <w:r>
        <w:t>pacity and feasibility for adaptation planning and implementation (and evolving limits and constraints to adaptation), and interactive inclusive discussions regarding realized costs, trade offs, and benefits of adaptation measures (Meredith et al. 2019).</w:t>
      </w:r>
    </w:p>
    <w:p w:rsidR="007D7E84" w:rsidRDefault="00CC1370">
      <w:r>
        <w:t>T</w:t>
      </w:r>
      <w:r>
        <w:t>his module will seek to provide the Council with recommendations for pathways to identify and implement management measures that provide for fisheries adaptation to future climate conditions and to ensure that diverse perspectives are considered when asses</w:t>
      </w:r>
      <w:r>
        <w:t>sing risks, impacts and tradeoffs. The latter relies on understanding and considering biological trajectories of change as well as the social, cultural, and economic implications and scope of adaptation in the intricately coupled social-ecological Bering S</w:t>
      </w:r>
      <w:r>
        <w:t xml:space="preserve">ea ecosystem. Co-production of knowledge is essential for understanding changes as well as identifying, </w:t>
      </w:r>
      <w:r>
        <w:lastRenderedPageBreak/>
        <w:t>understanding and promoting pathways of adaptation in both fisheries and fishing communities. Some social and ecological changes could help promote adap</w:t>
      </w:r>
      <w:r>
        <w:t>tation, but others might intensify negative impacts of climate-driven change. Thus, climate-related advice to managers must include coupled climate-biological-social-economic evaluations in order to inform management actions that effectively address climat</w:t>
      </w:r>
      <w:r>
        <w:t>e-driven impacts, utilize novel opportunities, and identify and promote equitable adaptive pathways. Of particular interest to the Council might be the future performance of existing management approaches and ecosystem-based management measures, such as pr</w:t>
      </w:r>
      <w:r>
        <w:t>otected or conservation areas, alternative time-space closures, catch share programs, bycatch reduction incentives, sector/gear specific fishing areas, minimum biomass thresholds that address target and non-target species and upper/lower trophic levels, an</w:t>
      </w:r>
      <w:r>
        <w:t>d aggregate total harvest limits.</w:t>
      </w:r>
    </w:p>
    <w:p w:rsidR="007D7E84" w:rsidRDefault="00CC1370">
      <w:pPr>
        <w:pStyle w:val="Heading2"/>
      </w:pPr>
      <w:bookmarkStart w:id="17" w:name="_9u39y0u16mnp" w:colFirst="0" w:colLast="0"/>
      <w:bookmarkEnd w:id="17"/>
      <w:r>
        <w:t>Resilience</w:t>
      </w:r>
    </w:p>
    <w:p w:rsidR="007D7E84" w:rsidRDefault="00CC1370">
      <w:r>
        <w:t>As with ‘adaptation’, the CCTF will work collaboratively with stakeholders to develop a definition of the important linked concept of ‘resilience.’  What is offered herein is a starting point for that work.  Cli</w:t>
      </w:r>
      <w:r>
        <w:t xml:space="preserve">mate resilience likely entails understanding resilience in terms of human communities, biological resilience, and coupled social-ecological  systems. Resilience in human communities has numerous interlinked aspects, including the epistemic (e.g. access to </w:t>
      </w:r>
      <w:r>
        <w:t>information, rich involvement in scientific-management-policy activities, etc.), the individual (e.g. mental and physical health), and the sociocultural (e.g. social cohesion, self-determination, integration of community with natural resources, thriving in</w:t>
      </w:r>
      <w:r>
        <w:t>tergenerational relationships, community sustainability and vibrancy, food security, economic diversity, adaptability to change, etc.).  The biological resilience of marine resources likewise spans a wide array of considerations, including genetic diversit</w:t>
      </w:r>
      <w:r>
        <w:t>y, healthy habitats and resources, sustained recruitment, and a balanced trophic structure.  Finally, resilience must be considered at the nexus of these two domains, i.e. coupled social-ecological systems.  This includes, for example: sustained strong con</w:t>
      </w:r>
      <w:r>
        <w:t>nections between harvest species and people that rely on them; management that is both capable of being both adaptive while generative of stability; supportiveness for fishery flexibility; drawing strength from co-management, community engagement, and co-p</w:t>
      </w:r>
      <w:r>
        <w:t>roduction of knowledge; matching knowledge, management, and policy to challenges of variability; and strong information-based decision making that includes diverse knowledge sources and perspectives.</w:t>
      </w:r>
    </w:p>
    <w:p w:rsidR="007D7E84" w:rsidRDefault="007D7E84"/>
    <w:p w:rsidR="007D7E84" w:rsidRDefault="00CC1370">
      <w:r>
        <w:rPr>
          <w:b/>
        </w:rPr>
        <w:t>ADD PARAGRAPH USING SEPARATE ADAPTATION QUESTIONS DOCUM</w:t>
      </w:r>
      <w:r>
        <w:rPr>
          <w:b/>
        </w:rPr>
        <w:t>ENT</w:t>
      </w:r>
    </w:p>
    <w:p w:rsidR="007D7E84" w:rsidRDefault="00CC1370">
      <w:pPr>
        <w:pStyle w:val="Heading1"/>
        <w:spacing w:before="280"/>
      </w:pPr>
      <w:bookmarkStart w:id="18" w:name="_yl16tic0m6ew" w:colFirst="0" w:colLast="0"/>
      <w:bookmarkEnd w:id="18"/>
      <w:r>
        <w:t>Action Module Objectives</w:t>
      </w:r>
    </w:p>
    <w:p w:rsidR="007D7E84" w:rsidRDefault="00CC1370">
      <w:r>
        <w:t>This Moduleodule will be used to:</w:t>
      </w:r>
    </w:p>
    <w:p w:rsidR="007D7E84" w:rsidRDefault="00CC1370">
      <w:pPr>
        <w:numPr>
          <w:ilvl w:val="0"/>
          <w:numId w:val="6"/>
        </w:numPr>
        <w:spacing w:after="0"/>
      </w:pPr>
      <w:r>
        <w:rPr>
          <w:i/>
        </w:rPr>
        <w:t>Operationalize the delivery of climate change information to the Council</w:t>
      </w:r>
      <w:r>
        <w:t>;</w:t>
      </w:r>
    </w:p>
    <w:p w:rsidR="007D7E84" w:rsidRDefault="00CC1370">
      <w:pPr>
        <w:numPr>
          <w:ilvl w:val="0"/>
          <w:numId w:val="6"/>
        </w:numPr>
        <w:spacing w:after="0"/>
      </w:pPr>
      <w:r>
        <w:t>Provide recommendations for short-, medium-, and long-term actions that could be considered and initiated by t</w:t>
      </w:r>
      <w:r>
        <w:t>he Council; and,</w:t>
      </w:r>
    </w:p>
    <w:p w:rsidR="007D7E84" w:rsidRDefault="00CC1370">
      <w:pPr>
        <w:numPr>
          <w:ilvl w:val="0"/>
          <w:numId w:val="6"/>
        </w:numPr>
        <w:spacing w:after="0"/>
      </w:pPr>
      <w:r>
        <w:t>Identify and analyze the risks and probabilities of success for potential climate-resilient management actions and policies under future scenarios of change</w:t>
      </w:r>
    </w:p>
    <w:p w:rsidR="007D7E84" w:rsidRDefault="007D7E84">
      <w:pPr>
        <w:numPr>
          <w:ilvl w:val="0"/>
          <w:numId w:val="6"/>
        </w:numPr>
      </w:pPr>
    </w:p>
    <w:p w:rsidR="007D7E84" w:rsidRDefault="00CC1370">
      <w:pPr>
        <w:keepNext/>
        <w:jc w:val="center"/>
      </w:pPr>
      <w:r>
        <w:rPr>
          <w:noProof/>
        </w:rPr>
        <w:lastRenderedPageBreak/>
        <w:drawing>
          <wp:inline distT="114300" distB="114300" distL="114300" distR="114300">
            <wp:extent cx="2269593" cy="3052763"/>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269593" cy="3052763"/>
                    </a:xfrm>
                    <a:prstGeom prst="rect">
                      <a:avLst/>
                    </a:prstGeom>
                    <a:ln/>
                  </pic:spPr>
                </pic:pic>
              </a:graphicData>
            </a:graphic>
          </wp:inline>
        </w:drawing>
      </w:r>
    </w:p>
    <w:p w:rsidR="007D7E84" w:rsidRDefault="00CC1370">
      <w:pPr>
        <w:pStyle w:val="Heading4"/>
      </w:pPr>
      <w:bookmarkStart w:id="19" w:name="_4d34og8" w:colFirst="0" w:colLast="0"/>
      <w:bookmarkEnd w:id="19"/>
      <w:r>
        <w:t>Figure 3. Iterative climate-resilient fisheries management approach. Modifie</w:t>
      </w:r>
      <w:r>
        <w:t>d from Holsman et al. 2019.</w:t>
      </w:r>
    </w:p>
    <w:p w:rsidR="007D7E84" w:rsidRDefault="007D7E84">
      <w:pPr>
        <w:pStyle w:val="Heading2"/>
        <w:rPr>
          <w:i/>
        </w:rPr>
      </w:pPr>
      <w:bookmarkStart w:id="20" w:name="_2s8eyo1" w:colFirst="0" w:colLast="0"/>
      <w:bookmarkEnd w:id="20"/>
    </w:p>
    <w:p w:rsidR="007D7E84" w:rsidRDefault="00CC1370">
      <w:r>
        <w:t>The</w:t>
      </w:r>
      <w:r>
        <w:t xml:space="preserve"> climate module will to provide information, pathways, and tools that can be used by the Council to ensure equitable climate resilience in the region’s fishery management. Specifically, the module will leverage ongoing, p</w:t>
      </w:r>
      <w:r>
        <w:t xml:space="preserve">roposed, and completed projects at State and Federal government entities (e.g., AFSC, PMEL), academic institutions, non-governmental organizations, Alaska Native Tribes and Organizations, industry, communities and other stakeholders to develop </w:t>
      </w:r>
      <w:r>
        <w:t>a synthes</w:t>
      </w:r>
      <w:r>
        <w:t xml:space="preserve">is report and framework for recommended short-, medium-, and long-term actions, processes and evaluations that could be implemented by the Council. </w:t>
      </w:r>
    </w:p>
    <w:p w:rsidR="007D7E84" w:rsidRDefault="00CC1370">
      <w:pPr>
        <w:pStyle w:val="Heading2"/>
      </w:pPr>
      <w:bookmarkStart w:id="21" w:name="_pjpie53j4wm3" w:colFirst="0" w:colLast="0"/>
      <w:bookmarkEnd w:id="21"/>
      <w:r>
        <w:t>Approach</w:t>
      </w:r>
    </w:p>
    <w:p w:rsidR="007D7E84" w:rsidRDefault="00CC1370">
      <w:r>
        <w:t>Initially</w:t>
      </w:r>
      <w:r>
        <w:t>, the taskforce will coordinate to draft a synthesis of anticipated short to long-term climate change impacts on the Bering Sea ecosystem, including fish, protected species, fisheries, and coastal communities, and an evaluation of and recommendations for m</w:t>
      </w:r>
      <w:r>
        <w:t>anagement actions. The taskforce will assemble information from recent ongoing and completed efforts, present synthesized results to the Council and other stakeholders for feedback, and work with the Council and stakeholders to develop a suite of potential</w:t>
      </w:r>
      <w:r>
        <w:t xml:space="preserve"> climate resilient management tools and policies and a plan for their consideration, implementation, and evaluation. This report and framework will evolve iteratively over (and, ideally, beyond) the course of the Taskforce’s lifespan to include information</w:t>
      </w:r>
      <w:r>
        <w:t xml:space="preserve"> and perspectives gathered during and from other Taskforce activities and products.</w:t>
      </w:r>
    </w:p>
    <w:p w:rsidR="007D7E84" w:rsidRDefault="00CC1370">
      <w:r>
        <w:t>The synthesis prepared by the task force will specify short-, medium-, and long-term management actions that the Council could consider to build climate resilience in regio</w:t>
      </w:r>
      <w:r>
        <w:t>nal fisheries and fisheries-dependent communities. It will also identify knowledge gaps, information requirements, and technological needs that should be addressed in order to promote resilience and adaptation to climate-induced changes (Figure 3). These s</w:t>
      </w:r>
      <w:r>
        <w:t xml:space="preserve">trategic policies could be implemented as needed between module cycles and would aim to use </w:t>
      </w:r>
      <w:r>
        <w:lastRenderedPageBreak/>
        <w:t xml:space="preserve">long-term management scenario analyses to inform short-term climate-specific decisions during relevant management cycles (e.g., annual groundfish assessment cycle, </w:t>
      </w:r>
      <w:r>
        <w:t>updates to essential fish habitat designations, updates to marine mammal assessments and species biological opinions).</w:t>
      </w:r>
      <w:r>
        <w:t xml:space="preserve"> Particular emphasis would be focused on developing tools for the purposes of testing and exploring alternative policy options includin</w:t>
      </w:r>
      <w:r>
        <w:t>g: in-season management tools, adaptive management experiments (e.g., temperature-dependent shifts in spatial distribution), and fixed management measures (e.g., long-term ecosystem biomass caps, closure areas, and/or minimal biomass threshold reference po</w:t>
      </w:r>
      <w:r>
        <w:t xml:space="preserve">ints). </w:t>
      </w:r>
    </w:p>
    <w:p w:rsidR="007D7E84" w:rsidRDefault="00CC1370">
      <w:r>
        <w:t>In this way, the results of this module will help the Council track climate impacts on the Bering Sea ecosystem and ensure that fisheries managers in the region have the right tools to adapt to rapid shifts in species distributions or abundances un</w:t>
      </w:r>
      <w:r>
        <w:t>der future conditions. If implemented, these new tools and pathways should help ensure that fisheries management best complies with the Magnuson-Stevens Act, including the National Standards, Fishery Management Plan objectives, and other statutory obligati</w:t>
      </w:r>
      <w:r>
        <w:t>ons, and that the Council has a more complete understanding of impacts to communities as conditions change. Initial studies suggest that the outcome of potential climate change impacts on fish and fisheries in the Bering Sea largely depends on harvest stra</w:t>
      </w:r>
      <w:r>
        <w:t>tegies in the region. Climate change creates additional sources of uncertainty in the system that need to be accounted for in trade-off analyses and future policies. Fortunately, completed and ongoing studies continue to advance regional understanding of p</w:t>
      </w:r>
      <w:r>
        <w:t>otential climate change impacts to fish and fisheries.</w:t>
      </w:r>
    </w:p>
    <w:p w:rsidR="007D7E84" w:rsidRDefault="00CC1370">
      <w:pPr>
        <w:spacing w:after="0"/>
      </w:pPr>
      <w:bookmarkStart w:id="22" w:name="_2jxsxqh" w:colFirst="0" w:colLast="0"/>
      <w:bookmarkEnd w:id="22"/>
      <w:r>
        <w:t>Because short-term “climate-ready” management actions can be developed and implemented relatively quickly (e.g. 1-3 year time frame),</w:t>
      </w:r>
      <w:r>
        <w:t xml:space="preserve"> management strategy evaluations would be focused on testing their performance under a wide range of potential future climate conditions. In contrast, modification of medium- and long-term management measures require more specific characterizations of risk</w:t>
      </w:r>
      <w:r>
        <w:t xml:space="preserve">s and uncertainty around future trajectories (i.e., long-term change as well as the frequency, intensity and recovery from extreme events) mandating thorough interdisciplinary scientific evaluation as well as consistent and regular stakeholder and Council </w:t>
      </w:r>
      <w:r>
        <w:t>review and feedback. Thus, evaluations should be initiated early, should use a co-production approach to the extent possible,on and should continue as performance under various policies options are fully evaluated</w:t>
      </w:r>
    </w:p>
    <w:p w:rsidR="007D7E84" w:rsidRDefault="00CC1370">
      <w:pPr>
        <w:pStyle w:val="Heading2"/>
        <w:spacing w:before="120"/>
      </w:pPr>
      <w:bookmarkStart w:id="23" w:name="_l0cdyhluqayb" w:colFirst="0" w:colLast="0"/>
      <w:bookmarkEnd w:id="23"/>
      <w:r>
        <w:t xml:space="preserve">Objectives and Associated Activities </w:t>
      </w:r>
    </w:p>
    <w:p w:rsidR="007D7E84" w:rsidRDefault="00CC1370">
      <w:pPr>
        <w:pStyle w:val="Heading3"/>
      </w:pPr>
      <w:bookmarkStart w:id="24" w:name="_5h7w542u87v9" w:colFirst="0" w:colLast="0"/>
      <w:bookmarkEnd w:id="24"/>
      <w:r>
        <w:t>Obje</w:t>
      </w:r>
      <w:r>
        <w:t>ctive 1</w:t>
      </w:r>
      <w:r>
        <w:t xml:space="preserve">: </w:t>
      </w:r>
      <w:r>
        <w:rPr>
          <w:rFonts w:ascii="Times New Roman" w:eastAsia="Times New Roman" w:hAnsi="Times New Roman" w:cs="Times New Roman"/>
          <w:i/>
          <w:color w:val="000000"/>
          <w:sz w:val="22"/>
          <w:szCs w:val="22"/>
        </w:rPr>
        <w:t>Operationalize the delivery of climate change information to the Council.</w:t>
      </w:r>
      <w:r>
        <w:rPr>
          <w:rFonts w:ascii="Times New Roman" w:eastAsia="Times New Roman" w:hAnsi="Times New Roman" w:cs="Times New Roman"/>
          <w:color w:val="000000"/>
          <w:sz w:val="22"/>
          <w:szCs w:val="22"/>
        </w:rPr>
        <w:t xml:space="preserve"> </w:t>
      </w:r>
      <w:r>
        <w:t>Activities</w:t>
      </w:r>
    </w:p>
    <w:p w:rsidR="007D7E84" w:rsidRDefault="00CC1370" w:rsidP="00EA4CB5">
      <w:pPr>
        <w:numPr>
          <w:ilvl w:val="0"/>
          <w:numId w:val="1"/>
        </w:numPr>
      </w:pPr>
      <w:r>
        <w:t>Synthesize</w:t>
      </w:r>
      <w:r>
        <w:t xml:space="preserve"> diverse sources of current knowledge regarding climate change effects on the Bering Sea ecosystem, including longer-term projections and forecast</w:t>
      </w:r>
      <w:r>
        <w:t>ing.This synthesis will be designed to support adaptation through ecosystem-based fisheries management, including evaluations of risks and tradeoffs among alternative policies.</w:t>
      </w:r>
    </w:p>
    <w:p w:rsidR="007D7E84" w:rsidRDefault="00CC1370" w:rsidP="00EA4CB5">
      <w:pPr>
        <w:numPr>
          <w:ilvl w:val="2"/>
          <w:numId w:val="1"/>
        </w:numPr>
        <w:spacing w:before="120" w:after="0"/>
        <w:ind w:left="1440" w:hanging="180"/>
      </w:pPr>
      <w:r>
        <w:t xml:space="preserve">. </w:t>
      </w:r>
      <w:r>
        <w:rPr>
          <w:i/>
        </w:rPr>
        <w:t>Coordinate researchers and knowledge holders to synthesize and communicate po</w:t>
      </w:r>
      <w:r>
        <w:rPr>
          <w:i/>
        </w:rPr>
        <w:t>licy relevant information</w:t>
      </w:r>
      <w:r>
        <w:t xml:space="preserve"> resulting from a diversity of ongoing and completed climate change projects, partnerships, experiences, knowledge, and research including, but not limited to:</w:t>
      </w:r>
    </w:p>
    <w:p w:rsidR="007D7E84" w:rsidRDefault="00CC1370" w:rsidP="00EA4CB5">
      <w:pPr>
        <w:numPr>
          <w:ilvl w:val="1"/>
          <w:numId w:val="1"/>
        </w:numPr>
        <w:spacing w:before="40" w:after="0"/>
      </w:pPr>
      <w:r>
        <w:rPr>
          <w:i/>
        </w:rPr>
        <w:t>Synthesized current and projected climate change impacts on the coupled</w:t>
      </w:r>
      <w:r>
        <w:rPr>
          <w:i/>
        </w:rPr>
        <w:t xml:space="preserve"> social-ecological Bering Sea system </w:t>
      </w:r>
      <w:r>
        <w:t>through review of diverse sources of knowledge, context and impacts of change and evaluation of future impacts and risks.</w:t>
      </w:r>
    </w:p>
    <w:p w:rsidR="007D7E84" w:rsidRDefault="00CC1370" w:rsidP="00EA4CB5">
      <w:pPr>
        <w:numPr>
          <w:ilvl w:val="1"/>
          <w:numId w:val="1"/>
        </w:numPr>
        <w:spacing w:before="40" w:after="0"/>
        <w:rPr>
          <w:i/>
        </w:rPr>
      </w:pPr>
      <w:r>
        <w:rPr>
          <w:i/>
        </w:rPr>
        <w:t xml:space="preserve">Indigenous and traditional knowledge </w:t>
      </w:r>
      <w:r>
        <w:t>of environmental change, climate impacts, adaptation respons</w:t>
      </w:r>
      <w:r>
        <w:t>es, and risks, including direct and cascading impacts of change and response on social and ecological processes and connections.</w:t>
      </w:r>
    </w:p>
    <w:p w:rsidR="007D7E84" w:rsidRDefault="00CC1370" w:rsidP="00EA4CB5">
      <w:pPr>
        <w:numPr>
          <w:ilvl w:val="1"/>
          <w:numId w:val="1"/>
        </w:numPr>
        <w:spacing w:before="40" w:after="0"/>
      </w:pPr>
      <w:r>
        <w:rPr>
          <w:i/>
        </w:rPr>
        <w:t>Local knowledge</w:t>
      </w:r>
      <w:r>
        <w:t>, experiences, and testimonials of climate change impacts and adaptation measures.</w:t>
      </w:r>
    </w:p>
    <w:p w:rsidR="007D7E84" w:rsidRDefault="00CC1370" w:rsidP="00EA4CB5">
      <w:pPr>
        <w:numPr>
          <w:ilvl w:val="1"/>
          <w:numId w:val="1"/>
        </w:numPr>
        <w:spacing w:before="40" w:after="0"/>
      </w:pPr>
      <w:r>
        <w:rPr>
          <w:i/>
        </w:rPr>
        <w:t>Rapid Climate Vulnerability A</w:t>
      </w:r>
      <w:r>
        <w:rPr>
          <w:i/>
        </w:rPr>
        <w:t>ssessments</w:t>
      </w:r>
      <w:r>
        <w:t>, which use expert knowledge to identify species and communities vulnerable to climate change and prioritize research needs.</w:t>
      </w:r>
    </w:p>
    <w:p w:rsidR="007D7E84" w:rsidRDefault="00CC1370" w:rsidP="00EA4CB5">
      <w:pPr>
        <w:numPr>
          <w:ilvl w:val="1"/>
          <w:numId w:val="1"/>
        </w:numPr>
        <w:spacing w:before="40" w:after="0"/>
      </w:pPr>
      <w:r>
        <w:rPr>
          <w:i/>
        </w:rPr>
        <w:lastRenderedPageBreak/>
        <w:t xml:space="preserve">Project changes in species productivity, distributions, and phenology </w:t>
      </w:r>
      <w:r>
        <w:t xml:space="preserve">which includes projected changes in habitats under </w:t>
      </w:r>
      <w:r>
        <w:t>future climate scenarios in order to estimate potential shifts in BSAI FMP species distributions and potential fishing grounds (</w:t>
      </w:r>
      <w:r>
        <w:rPr>
          <w:i/>
        </w:rPr>
        <w:t>sensu</w:t>
      </w:r>
      <w:r>
        <w:t xml:space="preserve"> </w:t>
      </w:r>
      <w:r>
        <w:rPr>
          <w:i/>
        </w:rPr>
        <w:t>Predicting changes in habitat for groundfishes under future climate scenarios using spatial distribution modeling).</w:t>
      </w:r>
    </w:p>
    <w:p w:rsidR="007D7E84" w:rsidRDefault="00CC1370" w:rsidP="00EA4CB5">
      <w:pPr>
        <w:numPr>
          <w:ilvl w:val="1"/>
          <w:numId w:val="1"/>
        </w:numPr>
        <w:spacing w:before="40" w:after="0"/>
      </w:pPr>
      <w:r>
        <w:rPr>
          <w:i/>
        </w:rPr>
        <w:t>Perfor</w:t>
      </w:r>
      <w:r>
        <w:rPr>
          <w:i/>
        </w:rPr>
        <w:t>mance, validation, and operationalized delivery of weekly forecasts</w:t>
      </w:r>
      <w:r>
        <w:t xml:space="preserve"> (up to 9 months from present day) of Bering Sea conditions, fish productivity and distribution, ecosystem condition, and fisheries relevant metrics (e.g., recruitment, predation, growth, e</w:t>
      </w:r>
      <w:r>
        <w:t>nergetics) specifically aimed at informing the annual groundfish assessment cycle (</w:t>
      </w:r>
      <w:r>
        <w:rPr>
          <w:i/>
        </w:rPr>
        <w:t>sensu</w:t>
      </w:r>
      <w:r>
        <w:t xml:space="preserve"> </w:t>
      </w:r>
      <w:r>
        <w:rPr>
          <w:i/>
        </w:rPr>
        <w:t>The</w:t>
      </w:r>
      <w:r>
        <w:t xml:space="preserve"> </w:t>
      </w:r>
      <w:r>
        <w:rPr>
          <w:i/>
        </w:rPr>
        <w:t>Bering Seasons Project).</w:t>
      </w:r>
    </w:p>
    <w:p w:rsidR="007D7E84" w:rsidRDefault="00CC1370" w:rsidP="00EA4CB5">
      <w:pPr>
        <w:numPr>
          <w:ilvl w:val="0"/>
          <w:numId w:val="1"/>
        </w:numPr>
        <w:spacing w:before="120" w:after="0"/>
      </w:pPr>
      <w:r>
        <w:rPr>
          <w:i/>
        </w:rPr>
        <w:t>Evaluate the scope of impacts on focal species and communities</w:t>
      </w:r>
      <w:r>
        <w:t xml:space="preserve"> identified in step (2) with participation from Indigenous, Traditional and </w:t>
      </w:r>
      <w:r>
        <w:t>Local Knowledge holders, researchers, and other regional and topical experts.</w:t>
      </w:r>
    </w:p>
    <w:p w:rsidR="007D7E84" w:rsidRDefault="00CC1370" w:rsidP="00EA4CB5">
      <w:pPr>
        <w:numPr>
          <w:ilvl w:val="0"/>
          <w:numId w:val="1"/>
        </w:numPr>
        <w:spacing w:before="120" w:after="0"/>
      </w:pPr>
      <w:r>
        <w:rPr>
          <w:i/>
        </w:rPr>
        <w:t xml:space="preserve">Develop tools to aid decision-making </w:t>
      </w:r>
      <w:r>
        <w:t>that may range from simple conceptual models to complex tools that integrate the most recent Intergovernmental Panel on Climate Change projec</w:t>
      </w:r>
      <w:r>
        <w:t>tions of carbon mitigation scenarios that …</w:t>
      </w:r>
    </w:p>
    <w:p w:rsidR="007D7E84" w:rsidRDefault="00CC1370" w:rsidP="00EA4CB5">
      <w:pPr>
        <w:numPr>
          <w:ilvl w:val="0"/>
          <w:numId w:val="1"/>
        </w:numPr>
        <w:spacing w:before="120" w:after="0"/>
      </w:pPr>
      <w:r>
        <w:t>Recommend pathways for inclusion of Climate Change Task Force Synthesis into Council and agency decision-making processes.</w:t>
      </w:r>
    </w:p>
    <w:p w:rsidR="007D7E84" w:rsidRDefault="007D7E84">
      <w:pPr>
        <w:spacing w:before="120" w:after="0"/>
      </w:pPr>
    </w:p>
    <w:p w:rsidR="007D7E84" w:rsidRDefault="007D7E84">
      <w:pPr>
        <w:spacing w:before="120"/>
      </w:pPr>
    </w:p>
    <w:p w:rsidR="007D7E84" w:rsidRDefault="00CC1370">
      <w:pPr>
        <w:pStyle w:val="Heading3"/>
      </w:pPr>
      <w:bookmarkStart w:id="25" w:name="_vl4g927h3f3" w:colFirst="0" w:colLast="0"/>
      <w:bookmarkEnd w:id="25"/>
      <w:r>
        <w:t>Objective 3: Provide recommendations for short-, medium-, and long-term actions that could be considered and initiated by the Counc</w:t>
      </w:r>
      <w:r>
        <w:t>il</w:t>
      </w:r>
      <w:r>
        <w:t>.</w:t>
      </w:r>
    </w:p>
    <w:p w:rsidR="007D7E84" w:rsidRDefault="00CC1370">
      <w:r>
        <w:t>Based on information from Activities 1 and 2, provide a summary of recommended short-, medium-, and long-term actions for the Council to consider. Examples are provided below.</w:t>
      </w:r>
    </w:p>
    <w:p w:rsidR="007D7E84" w:rsidRDefault="00CC1370" w:rsidP="00EA4CB5">
      <w:pPr>
        <w:numPr>
          <w:ilvl w:val="0"/>
          <w:numId w:val="1"/>
        </w:numPr>
        <w:spacing w:before="120"/>
      </w:pPr>
      <w:r>
        <w:rPr>
          <w:i/>
        </w:rPr>
        <w:t xml:space="preserve">Short-term potential actions (1-3 years) will be summarized and </w:t>
      </w:r>
      <w:r>
        <w:t xml:space="preserve">might include </w:t>
      </w:r>
    </w:p>
    <w:p w:rsidR="007D7E84" w:rsidRDefault="00CC1370" w:rsidP="00EA4CB5">
      <w:pPr>
        <w:numPr>
          <w:ilvl w:val="1"/>
          <w:numId w:val="1"/>
        </w:numPr>
        <w:spacing w:before="120"/>
      </w:pPr>
      <w:r>
        <w:t>Preservation of existing climate-resilient fisheries management approaches that are flexible enough to adjust to shifts in species distributions and abundances (e.g., annually u</w:t>
      </w:r>
      <w:r>
        <w:t>pdated % biomass-based F rates, tier 1-3 biological reference points, sloping control rules).</w:t>
      </w:r>
    </w:p>
    <w:p w:rsidR="007D7E84" w:rsidRDefault="00CC1370" w:rsidP="00EA4CB5">
      <w:pPr>
        <w:numPr>
          <w:ilvl w:val="1"/>
          <w:numId w:val="1"/>
        </w:numPr>
        <w:spacing w:before="120"/>
      </w:pPr>
      <w:r>
        <w:t>Development and evaluation of frequency of stock assessments (e.g., are assessments conducted on a 2-or 3-year cycle more likely to “get it wrong” under climate c</w:t>
      </w:r>
      <w:r>
        <w:t>hange than annual assessments?).</w:t>
      </w:r>
    </w:p>
    <w:p w:rsidR="007D7E84" w:rsidRDefault="00CC1370" w:rsidP="00EA4CB5">
      <w:pPr>
        <w:numPr>
          <w:ilvl w:val="1"/>
          <w:numId w:val="1"/>
        </w:numPr>
        <w:spacing w:before="120"/>
      </w:pPr>
      <w:r>
        <w:t>Development and performance of climate-enhanced single- and multi-species reference points (e.g., climate-specific F</w:t>
      </w:r>
      <w:r>
        <w:rPr>
          <w:vertAlign w:val="subscript"/>
        </w:rPr>
        <w:t>ABC</w:t>
      </w:r>
      <w:r>
        <w:t xml:space="preserve"> from ecologically-enhanced assessment models).</w:t>
      </w:r>
    </w:p>
    <w:p w:rsidR="007D7E84" w:rsidRDefault="00CC1370" w:rsidP="00EA4CB5">
      <w:pPr>
        <w:numPr>
          <w:ilvl w:val="1"/>
          <w:numId w:val="1"/>
        </w:numPr>
        <w:spacing w:before="120"/>
      </w:pPr>
      <w:r>
        <w:t xml:space="preserve">Evaluation of economic, non-economic sociocultural, and </w:t>
      </w:r>
      <w:r>
        <w:t>biological impacts of changes in fisheries resulting from climate change as well as from the timing of seasonal openings/closures and TAC decisions (i.e., to compensate for shifts under climate change). This could extend into the medium- and long-term, but</w:t>
      </w:r>
      <w:r>
        <w:t xml:space="preserve"> could be initiated in the short-term.</w:t>
      </w:r>
    </w:p>
    <w:p w:rsidR="007D7E84" w:rsidRDefault="00CC1370" w:rsidP="00EA4CB5">
      <w:pPr>
        <w:numPr>
          <w:ilvl w:val="1"/>
          <w:numId w:val="1"/>
        </w:numPr>
        <w:spacing w:before="120"/>
      </w:pPr>
      <w:r>
        <w:t>Regular incorporation of diverse sources of knowledge and perspectives regarding climate change and fisheries (e.g. observations, testimony, suggested management measures,</w:t>
      </w:r>
      <w:r>
        <w:t xml:space="preserve"> evaluation of existing management measures</w:t>
      </w:r>
      <w:r>
        <w:t xml:space="preserve">, etc.), particularly in line with evolving Council processes regarding community outreach and engagement and </w:t>
      </w:r>
      <w:r>
        <w:lastRenderedPageBreak/>
        <w:t>the incorporation of LK, TK,  subsistence information, economic and non-economic social science data.  As with the item above, this could be initi</w:t>
      </w:r>
      <w:r>
        <w:t>ated in the short-term but could extend into the medium- and long-term.</w:t>
      </w:r>
    </w:p>
    <w:p w:rsidR="007D7E84" w:rsidRDefault="00CC1370" w:rsidP="00EA4CB5">
      <w:pPr>
        <w:numPr>
          <w:ilvl w:val="0"/>
          <w:numId w:val="1"/>
        </w:numPr>
        <w:spacing w:before="120"/>
      </w:pPr>
      <w:r>
        <w:rPr>
          <w:i/>
        </w:rPr>
        <w:t>Medium-term potential actions (5-10 years) will be summarized and might include</w:t>
      </w:r>
      <w:r>
        <w:t>:</w:t>
      </w:r>
    </w:p>
    <w:p w:rsidR="007D7E84" w:rsidRDefault="00CC1370" w:rsidP="00EA4CB5">
      <w:pPr>
        <w:numPr>
          <w:ilvl w:val="1"/>
          <w:numId w:val="1"/>
        </w:numPr>
        <w:spacing w:before="40" w:after="0"/>
      </w:pPr>
      <w:r>
        <w:t xml:space="preserve">Evaluation, scoping, and market development </w:t>
      </w:r>
      <w:r>
        <w:t>for new or increasing populations of fish species.</w:t>
      </w:r>
    </w:p>
    <w:p w:rsidR="007D7E84" w:rsidRDefault="00CC1370" w:rsidP="00EA4CB5">
      <w:pPr>
        <w:numPr>
          <w:ilvl w:val="1"/>
          <w:numId w:val="1"/>
        </w:numPr>
        <w:spacing w:after="0"/>
      </w:pPr>
      <w:r>
        <w:t>Addre</w:t>
      </w:r>
      <w:r>
        <w:t>ss impacts to subsistence resources</w:t>
      </w:r>
      <w:r>
        <w:t xml:space="preserve"> and practices in coastal communities arising from climate and climate-related management impacts on fisheries.</w:t>
      </w:r>
    </w:p>
    <w:p w:rsidR="007D7E84" w:rsidRDefault="00CC1370" w:rsidP="00EA4CB5">
      <w:pPr>
        <w:numPr>
          <w:ilvl w:val="1"/>
          <w:numId w:val="1"/>
        </w:numPr>
        <w:spacing w:after="0"/>
      </w:pPr>
      <w:r>
        <w:t>Robust use of co-productive approaches to fisheries research, management, and policies.</w:t>
      </w:r>
    </w:p>
    <w:p w:rsidR="007D7E84" w:rsidRDefault="00CC1370" w:rsidP="00EA4CB5">
      <w:pPr>
        <w:numPr>
          <w:ilvl w:val="1"/>
          <w:numId w:val="1"/>
        </w:numPr>
        <w:spacing w:after="0"/>
      </w:pPr>
      <w:r>
        <w:t>Development of climate-specific biomass targets for fishery rebuilding plans under future trajectories (i.e., when declines are also due to climate change</w:t>
      </w:r>
      <w:r>
        <w:t>).</w:t>
      </w:r>
    </w:p>
    <w:p w:rsidR="007D7E84" w:rsidRDefault="00CC1370" w:rsidP="00EA4CB5">
      <w:pPr>
        <w:numPr>
          <w:ilvl w:val="1"/>
          <w:numId w:val="1"/>
        </w:numPr>
        <w:spacing w:after="0"/>
      </w:pPr>
      <w:r>
        <w:t>Strategic planning and development of mechanisms to allow for sustainable, intentional (e.g. gra</w:t>
      </w:r>
      <w:r>
        <w:t>dual rather than abrupt) fishery closures for populations projected to decline under future conditions.</w:t>
      </w:r>
    </w:p>
    <w:p w:rsidR="007D7E84" w:rsidRDefault="00CC1370" w:rsidP="00EA4CB5">
      <w:pPr>
        <w:numPr>
          <w:ilvl w:val="1"/>
          <w:numId w:val="1"/>
        </w:numPr>
        <w:spacing w:after="0"/>
      </w:pPr>
      <w:r>
        <w:t>Gear modifications, technological development and management improvements to decrease bycatch rates for new or expanded “choke” species under climate ch</w:t>
      </w:r>
      <w:r>
        <w:t>ange.</w:t>
      </w:r>
    </w:p>
    <w:p w:rsidR="007D7E84" w:rsidRDefault="00CC1370" w:rsidP="00EA4CB5">
      <w:pPr>
        <w:numPr>
          <w:ilvl w:val="1"/>
          <w:numId w:val="1"/>
        </w:numPr>
        <w:spacing w:after="0"/>
      </w:pPr>
      <w:r>
        <w:t>Evaluation of management measures to improve climate-resilience specific to the different types of fishery allocation schemes (IFQ, catch shares, cooperatives, etc.) utilized in the Bering Sea.</w:t>
      </w:r>
    </w:p>
    <w:p w:rsidR="007D7E84" w:rsidRDefault="00CC1370" w:rsidP="00EA4CB5">
      <w:pPr>
        <w:numPr>
          <w:ilvl w:val="1"/>
          <w:numId w:val="1"/>
        </w:numPr>
        <w:spacing w:after="0"/>
      </w:pPr>
      <w:r>
        <w:t>Evaluation of potential management measures to improve t</w:t>
      </w:r>
      <w:r>
        <w:t>he efficacy of protected marine mammal species critical habitat, conservation plans or conservation area designations in light of anticipated fishery distributional shifts, vessel traffic changes and warming climate scenarios.</w:t>
      </w:r>
    </w:p>
    <w:p w:rsidR="007D7E84" w:rsidRDefault="00CC1370" w:rsidP="00EA4CB5">
      <w:pPr>
        <w:numPr>
          <w:ilvl w:val="1"/>
          <w:numId w:val="1"/>
        </w:numPr>
        <w:spacing w:after="0"/>
      </w:pPr>
      <w:r>
        <w:t>Evaluation of potential impor</w:t>
      </w:r>
      <w:r>
        <w:t>tant areas and adaptive management tools for existing/new marine designated areas  and habitat protections.</w:t>
      </w:r>
    </w:p>
    <w:p w:rsidR="007D7E84" w:rsidRDefault="00CC1370" w:rsidP="00EA4CB5">
      <w:pPr>
        <w:numPr>
          <w:ilvl w:val="0"/>
          <w:numId w:val="1"/>
        </w:numPr>
        <w:spacing w:before="120"/>
      </w:pPr>
      <w:r>
        <w:rPr>
          <w:i/>
        </w:rPr>
        <w:t>Long-term potential actions (&gt;10 years) will be summarized and might include</w:t>
      </w:r>
      <w:r>
        <w:t>:</w:t>
      </w:r>
    </w:p>
    <w:p w:rsidR="007D7E84" w:rsidRDefault="00CC1370" w:rsidP="00EA4CB5">
      <w:pPr>
        <w:numPr>
          <w:ilvl w:val="1"/>
          <w:numId w:val="1"/>
        </w:numPr>
        <w:spacing w:before="40" w:after="0"/>
      </w:pPr>
      <w:r>
        <w:t>Periodic evaluation of long-term management measures to ensure continu</w:t>
      </w:r>
      <w:r>
        <w:t>ed conservative performance (e.g, implementing adaptive and responsive closures or MPA boundary adjustments to encompass expanded or retracted distributions, changes in monitoring, or changes in total yield cap to reflect potential reductions in groundfish</w:t>
      </w:r>
      <w:r>
        <w:t xml:space="preserve"> biomass).</w:t>
      </w:r>
    </w:p>
    <w:p w:rsidR="007D7E84" w:rsidRDefault="00CC1370" w:rsidP="00EA4CB5">
      <w:pPr>
        <w:numPr>
          <w:ilvl w:val="1"/>
          <w:numId w:val="1"/>
        </w:numPr>
        <w:spacing w:after="0"/>
      </w:pPr>
      <w:r>
        <w:t>Utilization of co-management structures for fisheries policy and management.</w:t>
      </w:r>
    </w:p>
    <w:p w:rsidR="007D7E84" w:rsidRDefault="00CC1370" w:rsidP="00EA4CB5">
      <w:pPr>
        <w:numPr>
          <w:ilvl w:val="1"/>
          <w:numId w:val="1"/>
        </w:numPr>
        <w:spacing w:after="0"/>
      </w:pPr>
      <w:r>
        <w:t>Adjusting (increasing or decreasing) the lower limits of sloping control rules and or minimum biomass thresholds to reflect sudden shifts in abundances of non-target fo</w:t>
      </w:r>
      <w:r>
        <w:t>rage or target species.</w:t>
      </w:r>
    </w:p>
    <w:p w:rsidR="007D7E84" w:rsidRDefault="007D7E84">
      <w:pPr>
        <w:rPr>
          <w:u w:val="single"/>
        </w:rPr>
      </w:pPr>
    </w:p>
    <w:p w:rsidR="007D7E84" w:rsidRDefault="007D7E84">
      <w:pPr>
        <w:rPr>
          <w:u w:val="single"/>
        </w:rPr>
      </w:pPr>
    </w:p>
    <w:p w:rsidR="007D7E84" w:rsidRDefault="007D7E84">
      <w:pPr>
        <w:rPr>
          <w:u w:val="single"/>
        </w:rPr>
      </w:pPr>
    </w:p>
    <w:p w:rsidR="007D7E84" w:rsidRDefault="00CC1370">
      <w:pPr>
        <w:keepNext/>
        <w:spacing w:before="240"/>
        <w:jc w:val="center"/>
      </w:pPr>
      <w:bookmarkStart w:id="26" w:name="_17dp8vu" w:colFirst="0" w:colLast="0"/>
      <w:bookmarkEnd w:id="26"/>
      <w:r>
        <w:rPr>
          <w:noProof/>
        </w:rPr>
        <w:lastRenderedPageBreak/>
        <w:drawing>
          <wp:inline distT="114300" distB="114300" distL="114300" distR="114300">
            <wp:extent cx="5055785" cy="3878263"/>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055785" cy="3878263"/>
                    </a:xfrm>
                    <a:prstGeom prst="rect">
                      <a:avLst/>
                    </a:prstGeom>
                    <a:ln/>
                  </pic:spPr>
                </pic:pic>
              </a:graphicData>
            </a:graphic>
          </wp:inline>
        </w:drawing>
      </w:r>
    </w:p>
    <w:p w:rsidR="007D7E84" w:rsidRDefault="00CC1370">
      <w:pPr>
        <w:pStyle w:val="Heading4"/>
      </w:pPr>
      <w:bookmarkStart w:id="27" w:name="_r7ww7favo3b9" w:colFirst="0" w:colLast="0"/>
      <w:bookmarkEnd w:id="27"/>
      <w:r>
        <w:t>Figure 4. Climate change impacts on marine systems. From Alisson and Bassett 2015.</w:t>
      </w:r>
    </w:p>
    <w:p w:rsidR="007D7E84" w:rsidRDefault="00CC1370">
      <w:pPr>
        <w:pStyle w:val="Heading3"/>
      </w:pPr>
      <w:bookmarkStart w:id="28" w:name="_df2zzn2v3nkk" w:colFirst="0" w:colLast="0"/>
      <w:bookmarkEnd w:id="28"/>
      <w:r>
        <w:t xml:space="preserve">Objective 2: Identify and analyze the risks and probabilities of success for potential climate-resilient management measures and policies under </w:t>
      </w:r>
      <w:r>
        <w:t>future scenarios of change.</w:t>
      </w:r>
    </w:p>
    <w:p w:rsidR="007D7E84" w:rsidRDefault="00CC1370" w:rsidP="00EA4CB5">
      <w:pPr>
        <w:numPr>
          <w:ilvl w:val="0"/>
          <w:numId w:val="1"/>
        </w:numPr>
        <w:spacing w:before="120"/>
      </w:pPr>
      <w:r>
        <w:rPr>
          <w:i/>
        </w:rPr>
        <w:t>Support proactive climate planning and response</w:t>
      </w:r>
      <w:r>
        <w:t xml:space="preserve"> through identification and strategic re-evaluation of emergent issues, recent findings, data gaps and research priorities, management strategies, and potential management actions (</w:t>
      </w:r>
      <w:r>
        <w:t>recommendations only that would be considered through the Council process). Additionally, the CCTF will work with the LK TK Subsistence Taskforce, FEP Team (and/or Council committees, Plan Teams and working groups) to iteratively (annual basis) identify an</w:t>
      </w:r>
      <w:r>
        <w:t>d assess the performance of potential short-term, medium and long-term management actions for climate adaptation (i.e., derive alternative strategies for MSEs).</w:t>
      </w:r>
    </w:p>
    <w:p w:rsidR="007D7E84" w:rsidRDefault="00CC1370">
      <w:pPr>
        <w:pStyle w:val="Heading2"/>
      </w:pPr>
      <w:bookmarkStart w:id="29" w:name="_heq1pjph7vk3" w:colFirst="0" w:colLast="0"/>
      <w:bookmarkEnd w:id="29"/>
      <w:r>
        <w:t>How Action Module will interface with existing work</w:t>
      </w:r>
    </w:p>
    <w:p w:rsidR="007D7E84" w:rsidRDefault="00CC1370">
      <w:pPr>
        <w:spacing w:before="40" w:after="0"/>
      </w:pPr>
      <w:r>
        <w:t>We aim to complement existing deliver</w:t>
      </w:r>
      <w:r>
        <w:t>y of ecosystem-based management to the Council process by organizing and synthesizing the breadth of climate information, a subset of which is currently communicated through various channels to the Council. This module will also standardize the method of c</w:t>
      </w:r>
      <w:r>
        <w:t>ommunicating actionable climate information to the Council through the recommendation of a framework</w:t>
      </w:r>
      <w:r>
        <w:t xml:space="preserve"> for climate-resilient management, including the incorporation of information and consideration of new management tools. This includes 1) systematic revi</w:t>
      </w:r>
      <w:r>
        <w:t>ew of new and emergent climate change information, both immediate and long-term in scope (most long-term information is currently not included in ESRs and other reports), 2) synthesis and evaluation of key issues, emergent trends, and potential red flags r</w:t>
      </w:r>
      <w:r>
        <w:t xml:space="preserve">elevant to the Council, 3) coordination and iterative review with the LK TK Subsistence Taskforce and FEP Team to support the diversity plurality of perspectives and knowledge </w:t>
      </w:r>
      <w:r>
        <w:lastRenderedPageBreak/>
        <w:t>sources needed for evaluations of risk, and tradeoffs, and the variety of source</w:t>
      </w:r>
      <w:r>
        <w:t xml:space="preserve">s of climate information, and 4) recommendations of climate-resilient management actions to enable adaptation to climate-driven change (this particular point would be in the form of recommendations that can be considered by the Council through the Council </w:t>
      </w:r>
      <w:r>
        <w:t>process). A proposed approach is outlined in Figure 5 below. As much as possible we will work with existing teams and products (such as the Ecosystem Status Report teams) to minimize the amount of reporting and review and avoid duplication of existing effo</w:t>
      </w:r>
      <w:r>
        <w:t>rts.</w:t>
      </w:r>
    </w:p>
    <w:p w:rsidR="007D7E84" w:rsidRDefault="007D7E84">
      <w:pPr>
        <w:spacing w:before="40" w:after="0"/>
        <w:rPr>
          <w:color w:val="292929"/>
          <w:sz w:val="18"/>
          <w:szCs w:val="18"/>
        </w:rPr>
      </w:pPr>
    </w:p>
    <w:p w:rsidR="007D7E84" w:rsidRDefault="00CC1370">
      <w:pPr>
        <w:spacing w:after="180" w:line="276" w:lineRule="auto"/>
        <w:rPr>
          <w:color w:val="292929"/>
          <w:sz w:val="18"/>
          <w:szCs w:val="18"/>
        </w:rPr>
      </w:pPr>
      <w:r>
        <w:rPr>
          <w:noProof/>
          <w:color w:val="292929"/>
          <w:sz w:val="18"/>
          <w:szCs w:val="18"/>
        </w:rPr>
        <w:drawing>
          <wp:inline distT="114300" distB="114300" distL="114300" distR="114300">
            <wp:extent cx="5943600" cy="35433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5943600" cy="3543300"/>
                    </a:xfrm>
                    <a:prstGeom prst="rect">
                      <a:avLst/>
                    </a:prstGeom>
                    <a:ln/>
                  </pic:spPr>
                </pic:pic>
              </a:graphicData>
            </a:graphic>
          </wp:inline>
        </w:drawing>
      </w:r>
    </w:p>
    <w:p w:rsidR="007D7E84" w:rsidRDefault="00CC1370">
      <w:pPr>
        <w:pStyle w:val="Heading4"/>
        <w:spacing w:after="180" w:line="276" w:lineRule="auto"/>
      </w:pPr>
      <w:bookmarkStart w:id="30" w:name="_9z24y1bsp119" w:colFirst="0" w:colLast="0"/>
      <w:bookmarkEnd w:id="30"/>
      <w:r>
        <w:t>Figure 5. Climate Change Task Force process for synthesis and delivery of information to the Council to support climate-informed management in the Bering Sea.</w:t>
      </w:r>
    </w:p>
    <w:p w:rsidR="007D7E84" w:rsidRDefault="00CC1370">
      <w:pPr>
        <w:spacing w:after="0"/>
      </w:pPr>
      <w:r>
        <w:t>We propose the following approach: In Feb 2020 we held a distributed spin up meeting with two mee</w:t>
      </w:r>
      <w:r>
        <w:t xml:space="preserve">ting locations connected through Webex video conferencing (ANC and SEA). This meeting focused on development of materials that will be used in the annual work plan cycle (e.g., forms for contributors, draft conceptual models, an outline of the proposed </w:t>
      </w:r>
      <w:r>
        <w:rPr>
          <w:i/>
        </w:rPr>
        <w:t>EBS</w:t>
      </w:r>
      <w:r>
        <w:rPr>
          <w:i/>
        </w:rPr>
        <w:t xml:space="preserve"> Climate Change and Fisheries Report</w:t>
      </w:r>
      <w:r>
        <w:t xml:space="preserve">, a new forward-looking chapter or appendix to the EBS Ecosystem Status Report). We had proposed a joint meeting  in coordination with ESR authors, FEP Team leads, and LK TK Subsistence Taskforce members for sometime in </w:t>
      </w:r>
      <w:r>
        <w:t>2020. However, in light of the Covid-19 pandemic and subsequent health considerations and travel restrictions, these meetings did not occur This joint meeting will be conducted sometime in 2020.</w:t>
      </w:r>
    </w:p>
    <w:p w:rsidR="007D7E84" w:rsidRDefault="00CC1370">
      <w:pPr>
        <w:spacing w:after="0"/>
      </w:pPr>
      <w:r>
        <w:t xml:space="preserve"> </w:t>
      </w:r>
    </w:p>
    <w:p w:rsidR="007D7E84" w:rsidRDefault="00CC1370">
      <w:bookmarkStart w:id="31" w:name="_vdrmf6m4xqvh" w:colFirst="0" w:colLast="0"/>
      <w:bookmarkEnd w:id="31"/>
      <w:r>
        <w:t>Following this spin up we propose the following annual c</w:t>
      </w:r>
      <w:r>
        <w:t>ycle to summarize and deliver actionable climate-information and advice relevant to fisheries management in the EBS. First, there will be two one-day “Climate Knowledge Briefings</w:t>
      </w:r>
      <w:r>
        <w:t>,”, that will include Indigenous, Traditional, and Local Knowledge inputs r</w:t>
      </w:r>
      <w:r>
        <w:t>egarding climate change from communities in Alaska as well as academic and agency research inputs regarding climate change and fisheries. Speakers will be asked to provide information according to a template</w:t>
      </w:r>
      <w:r>
        <w:t xml:space="preserve"> in order to standardize information for the </w:t>
      </w:r>
      <w:r>
        <w:rPr>
          <w:i/>
        </w:rPr>
        <w:t>E</w:t>
      </w:r>
      <w:r>
        <w:rPr>
          <w:i/>
        </w:rPr>
        <w:t xml:space="preserve">BS Climate Change and Fisheries Report. </w:t>
      </w:r>
      <w:r>
        <w:t xml:space="preserve">This will aid in synthesis and summary of findings, which will be included as a short report card and executive </w:t>
      </w:r>
      <w:r>
        <w:lastRenderedPageBreak/>
        <w:t>summary (similar in structure to the Ecosystem Status Report). In addition, and with input and coordinat</w:t>
      </w:r>
      <w:r>
        <w:t>ion with the LK/ TK/ Subsistence Taskforce, the CCTF will identify issues related to analyzing LK, TK, and subsistence information; emergent issues; red flags; research priorities and knowledge gaps; and key risks. If warranted, the CCTF may also make reco</w:t>
      </w:r>
      <w:r>
        <w:t>mmendations for management or action that could be considered by the Council through the Council process.The</w:t>
      </w:r>
      <w:hyperlink r:id="rId14">
        <w:r>
          <w:rPr>
            <w:color w:val="1155CC"/>
            <w:u w:val="single"/>
          </w:rPr>
          <w:t xml:space="preserve"> Alaska Integrated Ecosystem Assessment program</w:t>
        </w:r>
      </w:hyperlink>
      <w:r>
        <w:t>,</w:t>
      </w:r>
      <w:hyperlink r:id="rId15">
        <w:r>
          <w:rPr>
            <w:color w:val="1155CC"/>
            <w:u w:val="single"/>
          </w:rPr>
          <w:t xml:space="preserve"> the Bering Sea Regional Action Plan</w:t>
        </w:r>
      </w:hyperlink>
      <w:r>
        <w:t xml:space="preserve"> teams, and multiple ongoing projects at AFSC and various academic and independent research efforts are already providing the logistical and analytical s</w:t>
      </w:r>
      <w:r>
        <w:t>upport to meet objectives 1 and 2 of the module, as well as providing the modeling platforms for objective 3</w:t>
      </w:r>
      <w:r>
        <w:t xml:space="preserve">. Under the Regional Action Plan, climate assessment teams from the IEA, the </w:t>
      </w:r>
      <w:r>
        <w:rPr>
          <w:i/>
        </w:rPr>
        <w:t xml:space="preserve">ACLIM( Alaska Climate Integrated Modeling </w:t>
      </w:r>
      <w:r>
        <w:t>project), and the re</w:t>
      </w:r>
      <w:r>
        <w:t>lated habitat projection project (third bullet above) are working closely together with each other and with Pacific Marine Environment Lab researchers to expand the suite of downscaled climate projections coupled to climate-enhanced bioeconomic assessment,</w:t>
      </w:r>
      <w:r>
        <w:t xml:space="preserve"> ecosystem and fish habitat models, as well as MSE sub-modules for some of the ecosystem and assessment models. Thus the expert teams, analytical capacity, and climate scenarios are already available for some species. The rapid climate assessment conducted</w:t>
      </w:r>
      <w:r>
        <w:t xml:space="preserve"> during 2016 provides a framework for quickly and efficiently identifying additional species that may be impacted. Similarly, the other projects maintain the operational readiness of AFSC to evaluate climate impacts on Bering Sea species and additional eco</w:t>
      </w:r>
      <w:r>
        <w:t>system models or species additions to existing models could be readily implemented for future evaluations.</w:t>
      </w:r>
    </w:p>
    <w:p w:rsidR="007D7E84" w:rsidRDefault="00CC1370">
      <w:r>
        <w:t>Interdisciplinary teams like those already assembled for ongoing projects will be needed to conduct the full 3-5 year MSE evaluations, but personn</w:t>
      </w:r>
      <w:r>
        <w:t>el needs will depend greatly on the number and complexity of MSE scenarios and the number of new species evaluations.</w:t>
      </w:r>
    </w:p>
    <w:p w:rsidR="007D7E84" w:rsidRDefault="00CC1370">
      <w:pPr>
        <w:pStyle w:val="Heading2"/>
      </w:pPr>
      <w:bookmarkStart w:id="32" w:name="_j2v8fgxmr7bj" w:colFirst="0" w:colLast="0"/>
      <w:bookmarkEnd w:id="32"/>
      <w:r>
        <w:t>Deliverables and Progress Tracking</w:t>
      </w:r>
    </w:p>
    <w:p w:rsidR="007D7E84" w:rsidRDefault="00CC1370">
      <w:pPr>
        <w:numPr>
          <w:ilvl w:val="0"/>
          <w:numId w:val="7"/>
        </w:numPr>
        <w:spacing w:after="0"/>
      </w:pPr>
      <w:r>
        <w:t xml:space="preserve">Objective 1 and 2 Product: Synthesis report of climate change impacts and suggested management actions </w:t>
      </w:r>
      <w:r>
        <w:t xml:space="preserve">for Council consideration and adaptive strategies of interest and within the purview of the Council (compiled and edited by the CCTF climate module taskforce, acknowledging contributing authors, and collaborators). </w:t>
      </w:r>
    </w:p>
    <w:p w:rsidR="007D7E84" w:rsidRDefault="00CC1370">
      <w:pPr>
        <w:numPr>
          <w:ilvl w:val="0"/>
          <w:numId w:val="7"/>
        </w:numPr>
        <w:spacing w:after="0"/>
      </w:pPr>
      <w:r>
        <w:t>Objective 3 Product: Explore a framework</w:t>
      </w:r>
      <w:r>
        <w:t xml:space="preserve"> fthat examines a range of Bering Sea management actions identified in the Synthesis report  to evaluate risks and potential for success across a range of climate scenarios (e.g., </w:t>
      </w:r>
      <w:r>
        <w:rPr>
          <w:color w:val="3C4043"/>
          <w:highlight w:val="white"/>
        </w:rPr>
        <w:t>periodic review of existing and alternative management strategies/policies).</w:t>
      </w:r>
    </w:p>
    <w:p w:rsidR="007D7E84" w:rsidRDefault="00CC1370">
      <w:pPr>
        <w:numPr>
          <w:ilvl w:val="0"/>
          <w:numId w:val="7"/>
        </w:numPr>
        <w:spacing w:after="0"/>
      </w:pPr>
      <w:r>
        <w:t>CCTF Co-chairs will coordinate with LK/TK/Subsistence Taskforce and FEP co-chairs to communicate issues/topics of joint relevance and minimize duplicative efforts/products.</w:t>
      </w:r>
    </w:p>
    <w:p w:rsidR="007D7E84" w:rsidRDefault="00CC1370">
      <w:pPr>
        <w:numPr>
          <w:ilvl w:val="0"/>
          <w:numId w:val="7"/>
        </w:numPr>
        <w:spacing w:after="0"/>
      </w:pPr>
      <w:r>
        <w:t>Periodic update of recommendations of</w:t>
      </w:r>
      <w:r>
        <w:t xml:space="preserve"> Council’s climate-specific research priorities (with Council cycle) </w:t>
      </w:r>
    </w:p>
    <w:p w:rsidR="007D7E84" w:rsidRDefault="007D7E84">
      <w:pPr>
        <w:spacing w:after="0"/>
        <w:ind w:left="720"/>
      </w:pPr>
    </w:p>
    <w:p w:rsidR="007D7E84" w:rsidRDefault="00CC1370">
      <w:pPr>
        <w:spacing w:after="0"/>
      </w:pPr>
      <w:r>
        <w:t>We will develop an annual process  to:</w:t>
      </w:r>
    </w:p>
    <w:p w:rsidR="007D7E84" w:rsidRDefault="00CC1370">
      <w:pPr>
        <w:numPr>
          <w:ilvl w:val="0"/>
          <w:numId w:val="7"/>
        </w:numPr>
      </w:pPr>
      <w:r>
        <w:t>Review climate change tactical and strategic considerations for the coming year. Any tactical considerations should be provided to the Ecosystem Status Report team while strategic considerations will be summarized in the Bering Sea Ecosystem Health and Cli</w:t>
      </w:r>
      <w:r>
        <w:t>mate report (in conjunction with the BS FEP team)</w:t>
      </w:r>
    </w:p>
    <w:p w:rsidR="007D7E84" w:rsidRDefault="00CC1370">
      <w:pPr>
        <w:numPr>
          <w:ilvl w:val="0"/>
          <w:numId w:val="7"/>
        </w:numPr>
      </w:pPr>
      <w:r>
        <w:t xml:space="preserve">Table of potential short-, medium-, and long-term adaptive measures and new climate tools </w:t>
      </w:r>
    </w:p>
    <w:p w:rsidR="007D7E84" w:rsidRDefault="00CC1370">
      <w:pPr>
        <w:numPr>
          <w:ilvl w:val="0"/>
          <w:numId w:val="7"/>
        </w:numPr>
      </w:pPr>
      <w:r>
        <w:t>Table of climate risks/unknowns, data and information needs</w:t>
      </w:r>
    </w:p>
    <w:p w:rsidR="007D7E84" w:rsidRDefault="00CC1370">
      <w:pPr>
        <w:numPr>
          <w:ilvl w:val="0"/>
          <w:numId w:val="7"/>
        </w:numPr>
      </w:pPr>
      <w:r>
        <w:t>Conceptual model of climate-social-ecological linkag</w:t>
      </w:r>
      <w:r>
        <w:t>es (including direct and indirect connections)</w:t>
      </w:r>
    </w:p>
    <w:p w:rsidR="007D7E84" w:rsidRDefault="00CC1370">
      <w:pPr>
        <w:numPr>
          <w:ilvl w:val="0"/>
          <w:numId w:val="7"/>
        </w:numPr>
      </w:pPr>
      <w:r>
        <w:t>Recommendations for potential management action(s) to be considered in the Council process</w:t>
      </w:r>
    </w:p>
    <w:p w:rsidR="007D7E84" w:rsidRDefault="00CC1370">
      <w:pPr>
        <w:pStyle w:val="Heading1"/>
      </w:pPr>
      <w:bookmarkStart w:id="33" w:name="_cftneq7v7j4" w:colFirst="0" w:colLast="0"/>
      <w:bookmarkEnd w:id="33"/>
      <w:r>
        <w:lastRenderedPageBreak/>
        <w:t>Milestones</w:t>
      </w:r>
    </w:p>
    <w:p w:rsidR="007D7E84" w:rsidRDefault="00CC1370">
      <w:pPr>
        <w:keepNext/>
        <w:ind w:left="2520" w:hanging="2520"/>
        <w:rPr>
          <w:color w:val="666666"/>
        </w:rPr>
      </w:pPr>
      <w:r>
        <w:rPr>
          <w:color w:val="666666"/>
        </w:rPr>
        <w:t>May 2019</w:t>
      </w:r>
      <w:r>
        <w:rPr>
          <w:color w:val="666666"/>
        </w:rPr>
        <w:tab/>
        <w:t>FEP Plan Team meets to discuss draft workplan</w:t>
      </w:r>
    </w:p>
    <w:p w:rsidR="007D7E84" w:rsidRDefault="00CC1370">
      <w:pPr>
        <w:keepNext/>
        <w:ind w:left="2520" w:hanging="2520"/>
        <w:rPr>
          <w:color w:val="666666"/>
        </w:rPr>
      </w:pPr>
      <w:r>
        <w:rPr>
          <w:color w:val="666666"/>
        </w:rPr>
        <w:t>June 2019</w:t>
      </w:r>
      <w:r>
        <w:rPr>
          <w:color w:val="666666"/>
        </w:rPr>
        <w:tab/>
        <w:t>Council approves draft workplan</w:t>
      </w:r>
    </w:p>
    <w:p w:rsidR="007D7E84" w:rsidRDefault="00CC1370">
      <w:pPr>
        <w:keepNext/>
        <w:ind w:left="2520" w:hanging="2520"/>
        <w:rPr>
          <w:color w:val="666666"/>
        </w:rPr>
      </w:pPr>
      <w:r>
        <w:rPr>
          <w:color w:val="666666"/>
        </w:rPr>
        <w:t>June-Au</w:t>
      </w:r>
      <w:r>
        <w:rPr>
          <w:color w:val="666666"/>
        </w:rPr>
        <w:t>gust 2019</w:t>
      </w:r>
      <w:r>
        <w:rPr>
          <w:color w:val="666666"/>
        </w:rPr>
        <w:tab/>
        <w:t>Formation of Climate Change Action Module Taskforce (CCTF)</w:t>
      </w:r>
    </w:p>
    <w:p w:rsidR="007D7E84" w:rsidRDefault="00CC1370">
      <w:pPr>
        <w:keepNext/>
        <w:ind w:left="2520" w:hanging="2520"/>
      </w:pPr>
      <w:r>
        <w:t>January 2020</w:t>
      </w:r>
      <w:r>
        <w:tab/>
        <w:t xml:space="preserve"> CCTF initial Webex meeting, draft workplan revisions; Report progress to Ecosystem Committee/SSC/Council</w:t>
      </w:r>
    </w:p>
    <w:p w:rsidR="007D7E84" w:rsidRDefault="00CC1370">
      <w:pPr>
        <w:keepNext/>
        <w:ind w:left="2520" w:hanging="2520"/>
      </w:pPr>
      <w:r>
        <w:rPr>
          <w:b/>
        </w:rPr>
        <w:t>Feb 26-28, 2020 (tent)</w:t>
      </w:r>
      <w:r>
        <w:rPr>
          <w:b/>
        </w:rPr>
        <w:tab/>
        <w:t>~3 day meeting ANC/SEA dual locations/web coo</w:t>
      </w:r>
      <w:r>
        <w:rPr>
          <w:b/>
        </w:rPr>
        <w:t xml:space="preserve">rdinated: </w:t>
      </w:r>
      <w:r>
        <w:t>Taskforce meeting to develop framework, begin to draft list of short-, medium-, and long-term projects and scenarios to explore; draft table of climate- management risks and adaptations by species or focal components; develop one-page template an</w:t>
      </w:r>
      <w:r>
        <w:t>d tasking for climate knowledge briefing reports; agenda for proposed Climate Knowledge Briefing</w:t>
      </w:r>
      <w:r>
        <w:rPr>
          <w:b/>
        </w:rPr>
        <w:t xml:space="preserve"> </w:t>
      </w:r>
      <w:r>
        <w:t>1 meeting in May and Climate Knowledge Briefing 2 workshop wit</w:t>
      </w:r>
      <w:bookmarkStart w:id="34" w:name="_GoBack"/>
      <w:bookmarkEnd w:id="34"/>
      <w:r>
        <w:t>h LK TK Subsistence Taskforce; draft ecosystem climate conceptual model; draft ecological and soc</w:t>
      </w:r>
      <w:r>
        <w:t>ioeconomic indicators of climate change;review and revise deliverables and progress tracking mechanisms; revise workplan based on Jan 2020 Council commentsMarch 2020</w:t>
      </w:r>
      <w:r>
        <w:tab/>
        <w:t>Report progress to FEP Plan Team ( meets Mar 3-5, 2020) team including performance metrics</w:t>
      </w:r>
    </w:p>
    <w:p w:rsidR="007D7E84" w:rsidRDefault="00CC1370">
      <w:pPr>
        <w:keepNext/>
        <w:ind w:left="2520" w:hanging="2520"/>
      </w:pPr>
      <w:r>
        <w:t>March/April 2020</w:t>
      </w:r>
      <w:r>
        <w:tab/>
        <w:t>Report progress to Ecosystem Committee/SSC/Council</w:t>
      </w:r>
    </w:p>
    <w:p w:rsidR="007D7E84" w:rsidRDefault="00CC1370">
      <w:pPr>
        <w:keepNext/>
        <w:ind w:left="2520" w:hanging="2520"/>
      </w:pPr>
      <w:r>
        <w:t>________________________</w:t>
      </w:r>
    </w:p>
    <w:p w:rsidR="007D7E84" w:rsidRDefault="00CC1370">
      <w:pPr>
        <w:keepNext/>
        <w:ind w:left="2520" w:hanging="2520"/>
        <w:rPr>
          <w:i/>
        </w:rPr>
      </w:pPr>
      <w:r>
        <w:rPr>
          <w:b/>
        </w:rPr>
        <w:t>May 18 &amp; 19, 2021 (tent)</w:t>
      </w:r>
      <w:r>
        <w:rPr>
          <w:b/>
        </w:rPr>
        <w:tab/>
        <w:t xml:space="preserve">Climate Knowledge Briefing 1: meeting in SEA (possible dual locations web coordinated TBD) </w:t>
      </w:r>
      <w:r>
        <w:t>in coordination with PEEC meeting (May 19-20).</w:t>
      </w:r>
      <w:r>
        <w:t xml:space="preserve"> Highlight red flags, upcoming issues, new tools and products, emergent management actions/ recommendations; outline report and assign writing tasks and deadlines for contributions to the Climate Synthesis report </w:t>
      </w:r>
      <w:r>
        <w:rPr>
          <w:i/>
        </w:rPr>
        <w:t>[potentially add Climate section to PEEC re</w:t>
      </w:r>
      <w:r>
        <w:rPr>
          <w:i/>
        </w:rPr>
        <w:t>port].</w:t>
      </w:r>
    </w:p>
    <w:p w:rsidR="007D7E84" w:rsidRDefault="00CC1370">
      <w:pPr>
        <w:keepNext/>
        <w:ind w:left="2520" w:hanging="2520"/>
      </w:pPr>
      <w:r>
        <w:rPr>
          <w:b/>
        </w:rPr>
        <w:t>Summer 2021 TBD</w:t>
      </w:r>
      <w:r>
        <w:rPr>
          <w:b/>
        </w:rPr>
        <w:tab/>
        <w:t>Climate Knowledge Briefing 2: workshop with LK TK Subsistence Taskforce (ideally in a Bering Sea community)</w:t>
      </w:r>
      <w:r>
        <w:t>. Derive communication and engagement plan in conjunction with LK TK Subs. TF; Additional issues TBD</w:t>
      </w:r>
    </w:p>
    <w:p w:rsidR="007D7E84" w:rsidRDefault="00CC1370">
      <w:pPr>
        <w:keepNext/>
        <w:ind w:left="2520" w:hanging="2520"/>
      </w:pPr>
      <w:r>
        <w:t>June-September 2021</w:t>
      </w:r>
      <w:r>
        <w:tab/>
        <w:t>Conti</w:t>
      </w:r>
      <w:r>
        <w:t>nued development and update of climate indicators; draft Climate Synthesis report  and climate report card</w:t>
      </w:r>
    </w:p>
    <w:p w:rsidR="007D7E84" w:rsidRDefault="00CC1370">
      <w:pPr>
        <w:keepNext/>
        <w:ind w:left="2520"/>
      </w:pPr>
      <w:r>
        <w:t xml:space="preserve">June 2021 </w:t>
      </w:r>
      <w:r>
        <w:tab/>
        <w:t>Continue drafting Climate Synthesis report; 2 hr telecon check-in June [date TBD]</w:t>
      </w:r>
    </w:p>
    <w:p w:rsidR="007D7E84" w:rsidRDefault="00CC1370">
      <w:pPr>
        <w:keepNext/>
        <w:ind w:left="2520"/>
      </w:pPr>
      <w:r>
        <w:t>June- July 2021</w:t>
      </w:r>
      <w:r>
        <w:tab/>
        <w:t xml:space="preserve">LK TK Subs. TF and FEP Plan Team review </w:t>
      </w:r>
      <w:r>
        <w:t>of draft Climate Synthesis report</w:t>
      </w:r>
    </w:p>
    <w:p w:rsidR="007D7E84" w:rsidRDefault="00CC1370">
      <w:pPr>
        <w:keepNext/>
        <w:ind w:left="2520"/>
      </w:pPr>
      <w:r>
        <w:t>September 2021</w:t>
      </w:r>
      <w:r>
        <w:tab/>
        <w:t>Present Final Climate Synthesis report to FEP Plan Team</w:t>
      </w:r>
    </w:p>
    <w:p w:rsidR="007D7E84" w:rsidRDefault="00CC1370">
      <w:pPr>
        <w:keepNext/>
        <w:ind w:left="2520" w:hanging="2520"/>
        <w:rPr>
          <w:i/>
        </w:rPr>
      </w:pPr>
      <w:r>
        <w:t>December 2021</w:t>
      </w:r>
      <w:r>
        <w:tab/>
        <w:t>Report progress to Ecosystem Committee/SSC/Council</w:t>
      </w:r>
      <w:r>
        <w:rPr>
          <w:i/>
        </w:rPr>
        <w:t xml:space="preserve"> potentially in conjunction with ESR</w:t>
      </w:r>
    </w:p>
    <w:p w:rsidR="007D7E84" w:rsidRDefault="00CC1370">
      <w:pPr>
        <w:ind w:left="2520" w:hanging="2520"/>
      </w:pPr>
      <w:r>
        <w:t xml:space="preserve">April 2022 </w:t>
      </w:r>
      <w:r>
        <w:tab/>
        <w:t xml:space="preserve">Case study/red flags presentations to </w:t>
      </w:r>
      <w:r>
        <w:t>Council; progress report on updated tools and adaptation measures</w:t>
      </w:r>
    </w:p>
    <w:p w:rsidR="007D7E84" w:rsidRDefault="00CC1370">
      <w:pPr>
        <w:ind w:left="2520" w:hanging="2520"/>
      </w:pPr>
      <w:r>
        <w:lastRenderedPageBreak/>
        <w:t>2022-2026</w:t>
      </w:r>
      <w:r>
        <w:tab/>
        <w:t>Repeat and refine May 2021 - April 2022work products</w:t>
      </w:r>
    </w:p>
    <w:p w:rsidR="007D7E84" w:rsidRDefault="007D7E84">
      <w:pPr>
        <w:rPr>
          <w:b/>
        </w:rPr>
      </w:pPr>
    </w:p>
    <w:p w:rsidR="007D7E84" w:rsidRDefault="00CC1370">
      <w:pPr>
        <w:pStyle w:val="Heading1"/>
        <w:ind w:left="2520"/>
      </w:pPr>
      <w:bookmarkStart w:id="35" w:name="_480oig94dgrv" w:colFirst="0" w:colLast="0"/>
      <w:bookmarkEnd w:id="35"/>
      <w:r>
        <w:t>Requests for Council feedback</w:t>
      </w:r>
    </w:p>
    <w:p w:rsidR="007D7E84" w:rsidRDefault="00CC1370">
      <w:pPr>
        <w:numPr>
          <w:ilvl w:val="0"/>
          <w:numId w:val="2"/>
        </w:numPr>
        <w:spacing w:after="0"/>
      </w:pPr>
      <w:r>
        <w:t>What is the best method for delivery of Climate Synthesis report? Part of ESR, along with ESR but separate?</w:t>
      </w:r>
    </w:p>
    <w:p w:rsidR="007D7E84" w:rsidRDefault="00CC1370">
      <w:pPr>
        <w:numPr>
          <w:ilvl w:val="0"/>
          <w:numId w:val="2"/>
        </w:numPr>
        <w:spacing w:after="0"/>
      </w:pPr>
      <w:r>
        <w:t>Endorse or amend the CCTF direction; are we on the right track?</w:t>
      </w:r>
    </w:p>
    <w:p w:rsidR="007D7E84" w:rsidRDefault="00CC1370">
      <w:pPr>
        <w:numPr>
          <w:ilvl w:val="0"/>
          <w:numId w:val="2"/>
        </w:numPr>
      </w:pPr>
      <w:bookmarkStart w:id="36" w:name="_2bn6wsx" w:colFirst="0" w:colLast="0"/>
      <w:bookmarkEnd w:id="36"/>
      <w:r>
        <w:t>“Research priorities” and “Management recommendations” language and intent?</w:t>
      </w:r>
    </w:p>
    <w:p w:rsidR="007D7E84" w:rsidRDefault="00CC1370">
      <w:pPr>
        <w:pStyle w:val="Heading1"/>
      </w:pPr>
      <w:bookmarkStart w:id="37" w:name="_as40n2sbmnyb" w:colFirst="0" w:colLast="0"/>
      <w:bookmarkEnd w:id="37"/>
      <w:r>
        <w:t>Referenc</w:t>
      </w:r>
      <w:r>
        <w:t>es</w:t>
      </w:r>
    </w:p>
    <w:p w:rsidR="007D7E84" w:rsidRDefault="00CC1370">
      <w:pPr>
        <w:ind w:left="720" w:hanging="720"/>
      </w:pPr>
      <w:r>
        <w:t>Allison, E and HR Bassett. (2015). Climate change in the oceans: Human impacts and responses, Science 350 (6262), 778-782.</w:t>
      </w:r>
    </w:p>
    <w:p w:rsidR="007D7E84" w:rsidRDefault="00CC1370">
      <w:pPr>
        <w:ind w:left="720" w:hanging="720"/>
      </w:pPr>
      <w:r>
        <w:t>Cheung, W. W. L., and T. L. Frölicher. 2020. Marine heatwaves exacerbate climate change impacts for fisheries in the northeast Pac</w:t>
      </w:r>
      <w:r>
        <w:t>ific. Scientific Reports 10:1–10.</w:t>
      </w:r>
    </w:p>
    <w:p w:rsidR="007D7E84" w:rsidRDefault="00CC1370">
      <w:pPr>
        <w:ind w:left="720" w:hanging="720"/>
      </w:pPr>
      <w:r>
        <w:t>Duffy‐Anderson, J. T., P. Stabeno, A. G. Andrews, K. Cieciel, A. Deary, E. Farley, C. Fugate, C. Harpold, R. Heintz, D. Kimmel, K. Kuletz, J. Lamb, M. Paquin, S. Porter, L. Rogers, A. Spear, and E. Yasumiishi. 2019. Respon</w:t>
      </w:r>
      <w:r>
        <w:t>ses of the Northern Bering Sea and Southeastern Bering Sea Pelagic Ecosystems Following Record‐Breaking Low Winter Sea Ice. Geophysical Research Letters 46:9833–9842.</w:t>
      </w:r>
    </w:p>
    <w:p w:rsidR="007D7E84" w:rsidRDefault="00CC1370">
      <w:pPr>
        <w:ind w:left="720" w:hanging="720"/>
      </w:pPr>
      <w:r>
        <w:t>Dumas, 1984. Prehistory of the Bering Sea Region. In: Damas (Editor), Handbook of North A</w:t>
      </w:r>
      <w:r>
        <w:t>merican Indians. Smithsonian Institute, Washington DC, pp. 94-105.</w:t>
      </w:r>
    </w:p>
    <w:p w:rsidR="007D7E84" w:rsidRDefault="00CC1370">
      <w:pPr>
        <w:ind w:left="720" w:hanging="720"/>
      </w:pPr>
      <w:r>
        <w:t>Fall et al. 2013. Continuity and change in subsistence harvests in five Bering Sea communities: Akutan, Emmonak, Savoonga, St. Paul and Togiak. Deep-Sea Research Part II, 94: 274-291.</w:t>
      </w:r>
    </w:p>
    <w:p w:rsidR="007D7E84" w:rsidRDefault="00CC1370">
      <w:pPr>
        <w:ind w:left="720" w:hanging="720"/>
      </w:pPr>
      <w:r>
        <w:t>Frölicher, T. L., E. M. Fischer, and N. Gruber. 2018. Marine heatwaves u</w:t>
      </w:r>
      <w:r>
        <w:t>nder global warming. Nature 560:360–364.</w:t>
      </w:r>
    </w:p>
    <w:p w:rsidR="007D7E84" w:rsidRDefault="00CC1370">
      <w:pPr>
        <w:ind w:left="720" w:hanging="720"/>
      </w:pPr>
      <w:r>
        <w:t>Gadamus, L. and J. Raymond-Yakoubian. 2015. A Bering Strait Indigenous Framework for Resource Management: Respectful Seal and Walrus Hunting. In Arctic Anthropology 52(2): 87-101.</w:t>
      </w:r>
    </w:p>
    <w:p w:rsidR="007D7E84" w:rsidRDefault="00CC1370">
      <w:pPr>
        <w:ind w:left="720" w:hanging="720"/>
      </w:pPr>
      <w:r>
        <w:t xml:space="preserve">Haynie and Huntington 2016. Strong </w:t>
      </w:r>
      <w:r>
        <w:t>connections, loose coupling: the influence of the Bering Sea ecosystem on commercial fisheries and subsistence harvests in Alaska. Ecology and Society, 21(4).</w:t>
      </w:r>
    </w:p>
    <w:p w:rsidR="007D7E84" w:rsidRDefault="00CC1370">
      <w:pPr>
        <w:ind w:left="720" w:hanging="720"/>
      </w:pPr>
      <w:r>
        <w:t>Holsman, K. K., A. C. Haynie, A. B. Hollowed, J. C. P. Reum, K. Aydin, A. J. Hermann, W. Cheng, A</w:t>
      </w:r>
      <w:r>
        <w:t>. Faig, J. N. Ianelli, K. A. Kearney, and A. E. Punt. 2020. Ecosystem-based fisheries management forestalls climate-driven collapse. Nature Communications 11.</w:t>
      </w:r>
    </w:p>
    <w:p w:rsidR="007D7E84" w:rsidRDefault="00CC1370">
      <w:pPr>
        <w:ind w:left="720" w:hanging="720"/>
      </w:pPr>
      <w:r>
        <w:t>Holsman, K. K., E. L. Hazen, A. Haynie, S. Gourguet, A. Hollowed, S. J. Bograd, J. F. Samhouri, a</w:t>
      </w:r>
      <w:r>
        <w:t>nd K. Aydin. 2019. Towards climate resiliency in fisheries management. ICES Journal of Marine Science.</w:t>
      </w:r>
    </w:p>
    <w:p w:rsidR="007D7E84" w:rsidRDefault="00CC1370">
      <w:pPr>
        <w:ind w:left="720" w:hanging="720"/>
      </w:pPr>
      <w:r>
        <w:t>Karp, M. A., J. O. Peterson, P. D. Lynch, R. B. Griffis, C. F. Adams, W. S. Arnold, L. A. K. Barnett, Y. DeReynier, J. DiCosimo, K. H. Fenske, S. K. Gaic</w:t>
      </w:r>
      <w:r>
        <w:t>has, A. Hollowed, K. Holsman, M. Karnauskas, D. Kobayashi, A. Leising, J. P. Manderson, M. McClure, W. E. Morrison, E. Schnettler, A. Thompson, J. T. Thorson, J. F. Walter, A. J. Yau, R. D. Methot, and J. S. Link. 2019. Accounting for shifting distribution</w:t>
      </w:r>
      <w:r>
        <w:t xml:space="preserve">s and changing productivity in the development of </w:t>
      </w:r>
      <w:r>
        <w:lastRenderedPageBreak/>
        <w:t>scientific advice for fishery management. ICES Journal of Marine Science 76:1305–1315.</w:t>
      </w:r>
      <w:r>
        <w:rPr>
          <w:color w:val="2A2A2A"/>
          <w:highlight w:val="white"/>
        </w:rPr>
        <w:t xml:space="preserve"> </w:t>
      </w:r>
      <w:hyperlink r:id="rId16">
        <w:r>
          <w:rPr>
            <w:color w:val="006FB7"/>
            <w:u w:val="single"/>
          </w:rPr>
          <w:t>https://doi.org/10.1093/icesjms/fsz048</w:t>
        </w:r>
      </w:hyperlink>
    </w:p>
    <w:p w:rsidR="007D7E84" w:rsidRDefault="00CC1370">
      <w:pPr>
        <w:ind w:left="720" w:hanging="720"/>
      </w:pPr>
      <w:r>
        <w:t>Laufkötter, C., J. Zsc</w:t>
      </w:r>
      <w:r>
        <w:t>heischler, and T. L. Frölicher. 2020. High-impact marine heatwaves attributable to human-induced global warming. Science (New York, N.Y.) 369:1621–1625.</w:t>
      </w:r>
    </w:p>
    <w:p w:rsidR="007D7E84" w:rsidRDefault="00CC1370">
      <w:pPr>
        <w:ind w:left="720" w:hanging="720"/>
      </w:pPr>
      <w:r>
        <w:t>Lenton, T. M., J. Rockström, O. Gaffney, S. Rahmstorf, K. Richardson, W. Steffen, and H. J. Schellnhube</w:t>
      </w:r>
      <w:r>
        <w:t>r. 2019. Climate tipping points — too risky to bet against. Nature 575:592–595.</w:t>
      </w:r>
    </w:p>
    <w:p w:rsidR="007D7E84" w:rsidRDefault="00CC1370">
      <w:pPr>
        <w:ind w:left="720" w:hanging="720"/>
      </w:pPr>
      <w:r>
        <w:t>Meredith et al. 2019. Polar Regions. In: Portner, Roberts, Masson-Delmotte, Zhai, Tignor, Poloczanska, Mintenbeck, Nicolai, Okem, Petzold, Rama and Weyer (Editors), IPCC Specia</w:t>
      </w:r>
      <w:r>
        <w:t>l Report on the Ocean and Cryosphere in a Changing Climate.</w:t>
      </w:r>
    </w:p>
    <w:p w:rsidR="007D7E84" w:rsidRDefault="00CC1370">
      <w:pPr>
        <w:ind w:left="720" w:hanging="720"/>
      </w:pPr>
      <w:r>
        <w:t>Oliver, E. C. J., M. G. Donat, M. T. Burrows, P. J. Moore, D. A. Smale, L. V. Alexander, J. A. Benthuysen, M. Feng, A. Sen Gupta, A. J. Hobday, N. J. Holbrook, S. E. Perkins-Kirkpatrick, H. A. Sca</w:t>
      </w:r>
      <w:r>
        <w:t>nnell, S. C. Straub, and T. Wernberg. 2018. Longer and more frequent marine heatwaves over the past century. Nature Communications 9:1–12.</w:t>
      </w:r>
    </w:p>
    <w:p w:rsidR="007D7E84" w:rsidRDefault="00CC1370">
      <w:pPr>
        <w:ind w:left="720" w:hanging="720"/>
      </w:pPr>
      <w:r>
        <w:t>Piatt, J. F., J. K. Parrish, H. M. Renner, S. K. Schoen, T. T. Jones, M. L. Arimitsu, K. J. Kuletz, B. Bodenstein, M.</w:t>
      </w:r>
      <w:r>
        <w:t xml:space="preserve"> García-Reyes, R. S. Duerr, R. M. Corcoran, R. S. A. Kaler, G. J. McChesney, R. T. Golightly, H. A. Coletti, R. M. Suryan, H. K. Burgess, J. Lindsey, K. Lindquist, P. M. Warzybok, J. Jahncke, J. Roletto, and W. J. Sydeman. 2020. Extreme mortality and repro</w:t>
      </w:r>
      <w:r>
        <w:t>ductive failure of common murres resulting from the northeast Pacific marine heatwave of 2014-2016. PLOS ONE 15:doi: 10.1371/journal.pone.0226087.</w:t>
      </w:r>
    </w:p>
    <w:p w:rsidR="007D7E84" w:rsidRDefault="00CC1370">
      <w:pPr>
        <w:ind w:left="720" w:hanging="720"/>
      </w:pPr>
      <w:r>
        <w:t xml:space="preserve">Poloczanska, E. S., C. J. Brown, W. J. Sydeman, W. Kiessling, D. S. Schoeman, P. J. Moore, K. Brander, J. F. </w:t>
      </w:r>
      <w:r>
        <w:t xml:space="preserve">Bruno, L. B. Buckley, M. T. Burrows, C. M. Duarte, B. S. Halpern, J. Holding, C. V Kappel, M. I. O’Connor, J. M. Pandolfi, C. Parmesan, F. Schwing, S. A. Thompson, and A. J. Richardson. 2013. Global imprint of climate change on marine life. Nature Climate </w:t>
      </w:r>
      <w:r>
        <w:t>Change 3:919–925.</w:t>
      </w:r>
    </w:p>
    <w:p w:rsidR="007D7E84" w:rsidRDefault="00CC1370">
      <w:pPr>
        <w:ind w:left="720" w:hanging="720"/>
      </w:pPr>
      <w:r>
        <w:t>Raymond-Yakoubian, et al. 2017. The incorporation of traditional knowledge into Alaska federal fisheries management. Marine Policy, 78: 132-142.</w:t>
      </w:r>
    </w:p>
    <w:p w:rsidR="007D7E84" w:rsidRDefault="00CC1370">
      <w:pPr>
        <w:ind w:left="720" w:hanging="720"/>
      </w:pPr>
      <w:r>
        <w:t>Raymond-Yakoubian, J. and R. Daniel. 2018. An Indigenous approach to ocean planning and policy in the Bering St</w:t>
      </w:r>
      <w:r>
        <w:t xml:space="preserve">rait region of Alaska. In Marine Policy 97: 101-108. </w:t>
      </w:r>
      <w:hyperlink r:id="rId17">
        <w:r>
          <w:rPr>
            <w:color w:val="1155CC"/>
            <w:u w:val="single"/>
          </w:rPr>
          <w:t>https://doi.org/10.1016/j.marpol.2018.08.028</w:t>
        </w:r>
      </w:hyperlink>
      <w:r>
        <w:t xml:space="preserve"> </w:t>
      </w:r>
    </w:p>
    <w:p w:rsidR="007D7E84" w:rsidRDefault="00CC1370">
      <w:pPr>
        <w:ind w:left="720" w:hanging="720"/>
      </w:pPr>
      <w:r>
        <w:t>Sigler, M, Hollowed, A, Holsman, KK,+9 (2016). Alaska Regional Action Plan for Southeastern B</w:t>
      </w:r>
      <w:r>
        <w:t xml:space="preserve">ering Sea Climate Science. NOAA Technical Memo NMFS-AFSC-336  </w:t>
      </w:r>
      <w:hyperlink r:id="rId18">
        <w:r>
          <w:rPr>
            <w:color w:val="0000FF"/>
            <w:u w:val="single"/>
          </w:rPr>
          <w:t>doi:10.7289/V5/TM-AFSC-336</w:t>
        </w:r>
      </w:hyperlink>
      <w:r>
        <w:t>.</w:t>
      </w:r>
    </w:p>
    <w:p w:rsidR="007D7E84" w:rsidRDefault="00CC1370">
      <w:pPr>
        <w:ind w:left="720" w:hanging="720"/>
      </w:pPr>
      <w:r>
        <w:t>Smale, D. A., T. Wernberg, E. C. J. Oliver, M. Thomsen, B. P. Harvey, S. C. Str</w:t>
      </w:r>
      <w:r>
        <w:t>aub, M. T. Burrows, L. V. Alexander, J. A. Benthuysen, M. G. Donat, M. Feng, A. J. Hobday, N. J. Holbrook, S. E. Perkins-Kirkpatrick, H. A. Scannell, A. Sen Gupta, B. L. Payne, and P. J. Moore. 2019. Marine heatwaves threaten global biodiversity and the pr</w:t>
      </w:r>
      <w:r>
        <w:t>ovision of ecosystem services. Nature Climate Change 9:306–312.</w:t>
      </w:r>
    </w:p>
    <w:p w:rsidR="007D7E84" w:rsidRDefault="00CC1370">
      <w:pPr>
        <w:ind w:left="720" w:hanging="720"/>
      </w:pPr>
      <w:r>
        <w:t>Spies, I., K. M. Gruenthal, D. P. Drinan, A. B. Hollowed, D. E. Stevenson, C. M. Tarpey, and L. Hauser. 2020. Genetic evidence of a northward range expansion in the eastern Bering Sea stock of</w:t>
      </w:r>
      <w:r>
        <w:t xml:space="preserve"> Pacific cod. Evolutionary Applications 13:362–375.</w:t>
      </w:r>
    </w:p>
    <w:p w:rsidR="007D7E84" w:rsidRDefault="00CC1370">
      <w:pPr>
        <w:ind w:left="720" w:hanging="720"/>
      </w:pPr>
      <w:r>
        <w:t>Stevenson, D. E., and R. R. Lauth. 2019. Bottom trawl surveys in the northern Bering Sea indicate recent shifts in the distribution of marine species. Polar Biology 42:407–421.</w:t>
      </w:r>
    </w:p>
    <w:p w:rsidR="007D7E84" w:rsidRDefault="00CC1370">
      <w:pPr>
        <w:ind w:left="720" w:hanging="720"/>
      </w:pPr>
      <w:r>
        <w:t>Wise et al. 2014. Reconcept</w:t>
      </w:r>
      <w:r>
        <w:t>ualising adaptation to climate change as part of pathways of change and response. Global Environmental Change 28: 325–336.</w:t>
      </w:r>
    </w:p>
    <w:p w:rsidR="007D7E84" w:rsidRDefault="007D7E84"/>
    <w:p w:rsidR="007D7E84" w:rsidRDefault="007D7E84"/>
    <w:p w:rsidR="007D7E84" w:rsidRDefault="007D7E84">
      <w:pPr>
        <w:spacing w:before="240" w:after="240"/>
        <w:ind w:left="960" w:hanging="480"/>
      </w:pPr>
    </w:p>
    <w:p w:rsidR="007D7E84" w:rsidRDefault="007D7E84">
      <w:pPr>
        <w:spacing w:before="240" w:after="240"/>
        <w:ind w:left="960" w:hanging="480"/>
      </w:pPr>
    </w:p>
    <w:p w:rsidR="007D7E84" w:rsidRDefault="007D7E84">
      <w:pPr>
        <w:spacing w:before="240" w:after="240"/>
        <w:ind w:left="960" w:hanging="480"/>
      </w:pPr>
    </w:p>
    <w:p w:rsidR="007D7E84" w:rsidRDefault="007D7E84">
      <w:pPr>
        <w:spacing w:before="240" w:after="240"/>
        <w:ind w:left="960" w:hanging="480"/>
      </w:pPr>
    </w:p>
    <w:p w:rsidR="007D7E84" w:rsidRDefault="00CC1370">
      <w:r>
        <w:br w:type="page"/>
      </w:r>
    </w:p>
    <w:p w:rsidR="007D7E84" w:rsidRDefault="007D7E84"/>
    <w:p w:rsidR="007D7E84" w:rsidRDefault="00CC1370">
      <w:pPr>
        <w:pStyle w:val="Heading1"/>
      </w:pPr>
      <w:bookmarkStart w:id="38" w:name="_asmcbtvrr88d" w:colFirst="0" w:colLast="0"/>
      <w:bookmarkEnd w:id="38"/>
      <w:r>
        <w:lastRenderedPageBreak/>
        <w:t>Appendix 1. Action Module Scoping Summary from Core BS FEP</w:t>
      </w: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1525"/>
        <w:gridCol w:w="7825"/>
      </w:tblGrid>
      <w:tr w:rsidR="007D7E84">
        <w:tc>
          <w:tcPr>
            <w:tcW w:w="1525" w:type="dxa"/>
            <w:tcBorders>
              <w:top w:val="single" w:sz="4" w:space="0" w:color="ED7D31"/>
              <w:left w:val="single" w:sz="4" w:space="0" w:color="ED7D31"/>
              <w:bottom w:val="single" w:sz="4" w:space="0" w:color="ED7D31"/>
            </w:tcBorders>
            <w:shd w:val="clear" w:color="auto" w:fill="ED7D31"/>
          </w:tcPr>
          <w:p w:rsidR="007D7E84" w:rsidRDefault="00CC1370">
            <w:pPr>
              <w:keepNext/>
              <w:ind w:left="244" w:hanging="244"/>
              <w:rPr>
                <w:color w:val="FFFFFF"/>
                <w:sz w:val="20"/>
                <w:szCs w:val="20"/>
              </w:rPr>
            </w:pPr>
            <w:r>
              <w:rPr>
                <w:color w:val="FFFFFF"/>
                <w:sz w:val="20"/>
                <w:szCs w:val="20"/>
              </w:rPr>
              <w:lastRenderedPageBreak/>
              <w:t>1.</w:t>
            </w:r>
            <w:r>
              <w:rPr>
                <w:color w:val="FFFFFF"/>
                <w:sz w:val="20"/>
                <w:szCs w:val="20"/>
              </w:rPr>
              <w:tab/>
              <w:t xml:space="preserve">Synopsis </w:t>
            </w:r>
          </w:p>
          <w:p w:rsidR="007D7E84" w:rsidRDefault="00CC1370">
            <w:pPr>
              <w:keepNext/>
              <w:ind w:left="244" w:hanging="244"/>
              <w:rPr>
                <w:i/>
                <w:sz w:val="20"/>
                <w:szCs w:val="20"/>
              </w:rPr>
            </w:pPr>
            <w:r>
              <w:rPr>
                <w:sz w:val="20"/>
                <w:szCs w:val="20"/>
              </w:rPr>
              <w:tab/>
            </w:r>
            <w:r>
              <w:rPr>
                <w:i/>
                <w:color w:val="FFFFFF"/>
                <w:sz w:val="20"/>
                <w:szCs w:val="20"/>
              </w:rPr>
              <w:t>including how it will be accomplished</w:t>
            </w:r>
          </w:p>
        </w:tc>
        <w:tc>
          <w:tcPr>
            <w:tcW w:w="7825" w:type="dxa"/>
            <w:tcBorders>
              <w:top w:val="single" w:sz="4" w:space="0" w:color="ED7D31"/>
              <w:bottom w:val="single" w:sz="4" w:space="0" w:color="ED7D31"/>
              <w:right w:val="single" w:sz="4" w:space="0" w:color="ED7D31"/>
            </w:tcBorders>
          </w:tcPr>
          <w:p w:rsidR="007D7E84" w:rsidRDefault="00CC1370">
            <w:pPr>
              <w:keepNext/>
              <w:rPr>
                <w:sz w:val="19"/>
                <w:szCs w:val="19"/>
              </w:rPr>
            </w:pPr>
            <w:r>
              <w:rPr>
                <w:sz w:val="19"/>
                <w:szCs w:val="19"/>
              </w:rPr>
              <w:t>The goal of this climate project is to evaluate the vulnerability of key species, fisheries and communities to climate change and to strengthen resilience in regional fisheries management. Methods will leverage ongoing projects at AFSC and partner organiza</w:t>
            </w:r>
            <w:r>
              <w:rPr>
                <w:sz w:val="19"/>
                <w:szCs w:val="19"/>
              </w:rPr>
              <w:t>tions. The Action Module will address the following objectives: (1) coordinate to synthesize results of various ongoing and completed climate change research projects; (2) evaluate the scope of impacts on priority species identified in initial studies; and</w:t>
            </w:r>
            <w:r>
              <w:rPr>
                <w:sz w:val="19"/>
                <w:szCs w:val="19"/>
              </w:rPr>
              <w:t xml:space="preserve"> (3) strategically reevaluate management strategies every ~5 years; (4) include synthesis to evaluate climate-resilient management tools. The climate change Action Module taskforce will work with the Council to iteratively identify and assess the performan</w:t>
            </w:r>
            <w:r>
              <w:rPr>
                <w:sz w:val="19"/>
                <w:szCs w:val="19"/>
              </w:rPr>
              <w:t>ce of potential short-term, medium and long-term management actions for climate adaptation (i.e., derive alternative strategies for MSEs).</w:t>
            </w:r>
          </w:p>
        </w:tc>
      </w:tr>
      <w:tr w:rsidR="007D7E84">
        <w:trPr>
          <w:trHeight w:val="300"/>
        </w:trPr>
        <w:tc>
          <w:tcPr>
            <w:tcW w:w="1525" w:type="dxa"/>
            <w:tcBorders>
              <w:top w:val="single" w:sz="4" w:space="0" w:color="ED7D31"/>
              <w:bottom w:val="single" w:sz="4" w:space="0" w:color="A5A5A5"/>
            </w:tcBorders>
          </w:tcPr>
          <w:p w:rsidR="007D7E84" w:rsidRDefault="007D7E84">
            <w:pPr>
              <w:keepNext/>
              <w:ind w:left="244" w:hanging="244"/>
              <w:rPr>
                <w:sz w:val="20"/>
                <w:szCs w:val="20"/>
              </w:rPr>
            </w:pPr>
          </w:p>
        </w:tc>
        <w:tc>
          <w:tcPr>
            <w:tcW w:w="7825" w:type="dxa"/>
            <w:tcBorders>
              <w:top w:val="single" w:sz="4" w:space="0" w:color="ED7D31"/>
              <w:bottom w:val="single" w:sz="4" w:space="0" w:color="A5A5A5"/>
            </w:tcBorders>
          </w:tcPr>
          <w:p w:rsidR="007D7E84" w:rsidRDefault="007D7E84">
            <w:pPr>
              <w:keepNext/>
              <w:rPr>
                <w:sz w:val="20"/>
                <w:szCs w:val="20"/>
              </w:rPr>
            </w:pPr>
          </w:p>
        </w:tc>
      </w:tr>
      <w:tr w:rsidR="007D7E84">
        <w:tc>
          <w:tcPr>
            <w:tcW w:w="1525" w:type="dxa"/>
            <w:tcBorders>
              <w:top w:val="single" w:sz="4" w:space="0" w:color="A5A5A5"/>
              <w:left w:val="single" w:sz="4" w:space="0" w:color="A5A5A5"/>
              <w:bottom w:val="single" w:sz="4" w:space="0" w:color="A5A5A5"/>
            </w:tcBorders>
            <w:shd w:val="clear" w:color="auto" w:fill="A5A5A5"/>
          </w:tcPr>
          <w:p w:rsidR="007D7E84" w:rsidRDefault="00CC1370">
            <w:pPr>
              <w:keepNext/>
              <w:ind w:left="244" w:hanging="244"/>
              <w:rPr>
                <w:color w:val="FFFFFF"/>
                <w:sz w:val="20"/>
                <w:szCs w:val="20"/>
              </w:rPr>
            </w:pPr>
            <w:r>
              <w:rPr>
                <w:color w:val="FFFFFF"/>
                <w:sz w:val="20"/>
                <w:szCs w:val="20"/>
              </w:rPr>
              <w:t>2.</w:t>
            </w:r>
            <w:r>
              <w:rPr>
                <w:color w:val="FFFFFF"/>
                <w:sz w:val="20"/>
                <w:szCs w:val="20"/>
              </w:rPr>
              <w:tab/>
              <w:t xml:space="preserve">Purpose </w:t>
            </w:r>
          </w:p>
          <w:p w:rsidR="007D7E84" w:rsidRDefault="00CC1370">
            <w:pPr>
              <w:keepNext/>
              <w:ind w:left="244" w:hanging="244"/>
              <w:rPr>
                <w:sz w:val="20"/>
                <w:szCs w:val="20"/>
              </w:rPr>
            </w:pPr>
            <w:r>
              <w:rPr>
                <w:sz w:val="20"/>
                <w:szCs w:val="20"/>
              </w:rPr>
              <w:tab/>
            </w:r>
            <w:r>
              <w:rPr>
                <w:i/>
                <w:color w:val="FFFFFF"/>
                <w:sz w:val="20"/>
                <w:szCs w:val="20"/>
              </w:rPr>
              <w:t>relationship to the BS FEP’s strategic objectives</w:t>
            </w:r>
          </w:p>
        </w:tc>
        <w:tc>
          <w:tcPr>
            <w:tcW w:w="7825" w:type="dxa"/>
            <w:tcBorders>
              <w:top w:val="single" w:sz="4" w:space="0" w:color="A5A5A5"/>
              <w:bottom w:val="single" w:sz="4" w:space="0" w:color="A5A5A5"/>
              <w:right w:val="single" w:sz="4" w:space="0" w:color="A5A5A5"/>
            </w:tcBorders>
          </w:tcPr>
          <w:p w:rsidR="007D7E84" w:rsidRDefault="00CC1370">
            <w:pPr>
              <w:keepNext/>
              <w:rPr>
                <w:sz w:val="20"/>
                <w:szCs w:val="20"/>
              </w:rPr>
            </w:pPr>
            <w:r>
              <w:rPr>
                <w:sz w:val="19"/>
                <w:szCs w:val="19"/>
              </w:rPr>
              <w:t>This Action Module is specifically responsive to Process Objective 13, to establish a process for addressing change under novel or intensified stressors, as well as the implementation strategy of the Council’s ecosystem policy vision statement. While the A</w:t>
            </w:r>
            <w:r>
              <w:rPr>
                <w:sz w:val="19"/>
                <w:szCs w:val="19"/>
              </w:rPr>
              <w:t>ction Module leverages ongoing AFSC research projects on climate change, including it in the BS FEP provides a direct link for the Council to be involved in prioritizing Action Module research that addresses questions most relevant to Council fishery manag</w:t>
            </w:r>
            <w:r>
              <w:rPr>
                <w:sz w:val="19"/>
                <w:szCs w:val="19"/>
              </w:rPr>
              <w:t>ement. This is in keeping with the BS FEP’s purpose to facilitate dialogue between managers, co-managers, scientists, and diverse stakeholders. This Action Module will provide a five to seven-year climate context within which to interpret and respond to an</w:t>
            </w:r>
            <w:r>
              <w:rPr>
                <w:sz w:val="19"/>
                <w:szCs w:val="19"/>
              </w:rPr>
              <w:t>nual signals and will establish a more formal process for considering those variables. This is responsive to the BS FEP purpose to build resiliency into the Council’s management strategies, and to enhance the capacity for adaptive EBFM approaches in the co</w:t>
            </w:r>
            <w:r>
              <w:rPr>
                <w:sz w:val="19"/>
                <w:szCs w:val="19"/>
              </w:rPr>
              <w:t>ntext of shifting climate conditions.</w:t>
            </w:r>
          </w:p>
        </w:tc>
      </w:tr>
      <w:tr w:rsidR="007D7E84">
        <w:trPr>
          <w:trHeight w:val="107"/>
        </w:trPr>
        <w:tc>
          <w:tcPr>
            <w:tcW w:w="1525" w:type="dxa"/>
            <w:tcBorders>
              <w:top w:val="single" w:sz="4" w:space="0" w:color="A5A5A5"/>
              <w:bottom w:val="single" w:sz="4" w:space="0" w:color="FFC000"/>
            </w:tcBorders>
          </w:tcPr>
          <w:p w:rsidR="007D7E84" w:rsidRDefault="007D7E84">
            <w:pPr>
              <w:keepNext/>
              <w:ind w:left="244" w:hanging="244"/>
              <w:rPr>
                <w:sz w:val="20"/>
                <w:szCs w:val="20"/>
              </w:rPr>
            </w:pPr>
          </w:p>
        </w:tc>
        <w:tc>
          <w:tcPr>
            <w:tcW w:w="7825" w:type="dxa"/>
            <w:tcBorders>
              <w:top w:val="single" w:sz="4" w:space="0" w:color="A5A5A5"/>
              <w:bottom w:val="single" w:sz="4" w:space="0" w:color="FFC000"/>
            </w:tcBorders>
          </w:tcPr>
          <w:p w:rsidR="007D7E84" w:rsidRDefault="007D7E84">
            <w:pPr>
              <w:keepNext/>
              <w:rPr>
                <w:sz w:val="20"/>
                <w:szCs w:val="20"/>
              </w:rPr>
            </w:pPr>
          </w:p>
        </w:tc>
      </w:tr>
      <w:tr w:rsidR="007D7E84">
        <w:tc>
          <w:tcPr>
            <w:tcW w:w="1525" w:type="dxa"/>
            <w:tcBorders>
              <w:top w:val="single" w:sz="4" w:space="0" w:color="FFC000"/>
              <w:left w:val="single" w:sz="4" w:space="0" w:color="FFC000"/>
              <w:bottom w:val="single" w:sz="4" w:space="0" w:color="FFC000"/>
            </w:tcBorders>
            <w:shd w:val="clear" w:color="auto" w:fill="FFC000"/>
          </w:tcPr>
          <w:p w:rsidR="007D7E84" w:rsidRDefault="00CC1370">
            <w:pPr>
              <w:keepNext/>
              <w:ind w:left="244" w:hanging="244"/>
              <w:rPr>
                <w:sz w:val="20"/>
                <w:szCs w:val="20"/>
              </w:rPr>
            </w:pPr>
            <w:r>
              <w:rPr>
                <w:color w:val="FFFFFF"/>
                <w:sz w:val="20"/>
                <w:szCs w:val="20"/>
              </w:rPr>
              <w:t>3.</w:t>
            </w:r>
            <w:r>
              <w:rPr>
                <w:color w:val="FFFFFF"/>
                <w:sz w:val="20"/>
                <w:szCs w:val="20"/>
              </w:rPr>
              <w:tab/>
              <w:t>How it will inform the Council process</w:t>
            </w:r>
          </w:p>
        </w:tc>
        <w:tc>
          <w:tcPr>
            <w:tcW w:w="7825" w:type="dxa"/>
            <w:tcBorders>
              <w:top w:val="single" w:sz="4" w:space="0" w:color="FFC000"/>
              <w:bottom w:val="single" w:sz="4" w:space="0" w:color="FFC000"/>
              <w:right w:val="single" w:sz="4" w:space="0" w:color="FFC000"/>
            </w:tcBorders>
          </w:tcPr>
          <w:p w:rsidR="007D7E84" w:rsidRDefault="00CC1370">
            <w:pPr>
              <w:keepNext/>
              <w:rPr>
                <w:rFonts w:ascii="Arial" w:eastAsia="Arial" w:hAnsi="Arial" w:cs="Arial"/>
                <w:sz w:val="20"/>
                <w:szCs w:val="20"/>
              </w:rPr>
            </w:pPr>
            <w:r>
              <w:rPr>
                <w:sz w:val="19"/>
                <w:szCs w:val="19"/>
              </w:rPr>
              <w:t>Climate-ready fisheries management will help continue the legacy of sustainable fisheries management in the region, including management to promote a productive marine ecosystem and healthy vibrant marine fisheries. Results will inform short, medium, and l</w:t>
            </w:r>
            <w:r>
              <w:rPr>
                <w:sz w:val="19"/>
                <w:szCs w:val="19"/>
              </w:rPr>
              <w:t>ong-term “climate ready” tactical and strategic management measures.</w:t>
            </w:r>
          </w:p>
        </w:tc>
      </w:tr>
      <w:tr w:rsidR="007D7E84">
        <w:trPr>
          <w:trHeight w:val="107"/>
        </w:trPr>
        <w:tc>
          <w:tcPr>
            <w:tcW w:w="1525" w:type="dxa"/>
            <w:tcBorders>
              <w:top w:val="single" w:sz="4" w:space="0" w:color="FFC000"/>
              <w:bottom w:val="single" w:sz="4" w:space="0" w:color="5B9BD5"/>
            </w:tcBorders>
          </w:tcPr>
          <w:p w:rsidR="007D7E84" w:rsidRDefault="007D7E84">
            <w:pPr>
              <w:keepNext/>
              <w:ind w:left="244" w:hanging="244"/>
              <w:rPr>
                <w:sz w:val="20"/>
                <w:szCs w:val="20"/>
              </w:rPr>
            </w:pPr>
          </w:p>
        </w:tc>
        <w:tc>
          <w:tcPr>
            <w:tcW w:w="7825" w:type="dxa"/>
            <w:tcBorders>
              <w:top w:val="single" w:sz="4" w:space="0" w:color="FFC000"/>
              <w:bottom w:val="single" w:sz="4" w:space="0" w:color="5B9BD5"/>
            </w:tcBorders>
          </w:tcPr>
          <w:p w:rsidR="007D7E84" w:rsidRDefault="007D7E84">
            <w:pPr>
              <w:keepNext/>
              <w:rPr>
                <w:sz w:val="20"/>
                <w:szCs w:val="20"/>
              </w:rPr>
            </w:pPr>
          </w:p>
        </w:tc>
      </w:tr>
      <w:tr w:rsidR="007D7E84">
        <w:tc>
          <w:tcPr>
            <w:tcW w:w="1525" w:type="dxa"/>
            <w:tcBorders>
              <w:top w:val="single" w:sz="4" w:space="0" w:color="5B9BD5"/>
              <w:left w:val="single" w:sz="4" w:space="0" w:color="5B9BD5"/>
              <w:bottom w:val="single" w:sz="4" w:space="0" w:color="5B9BD5"/>
            </w:tcBorders>
            <w:shd w:val="clear" w:color="auto" w:fill="5B9BD5"/>
          </w:tcPr>
          <w:p w:rsidR="007D7E84" w:rsidRDefault="00CC1370">
            <w:pPr>
              <w:keepNext/>
              <w:ind w:left="244" w:hanging="244"/>
              <w:rPr>
                <w:sz w:val="20"/>
                <w:szCs w:val="20"/>
              </w:rPr>
            </w:pPr>
            <w:r>
              <w:rPr>
                <w:color w:val="FFFFFF"/>
                <w:sz w:val="20"/>
                <w:szCs w:val="20"/>
              </w:rPr>
              <w:t>4.</w:t>
            </w:r>
            <w:r>
              <w:rPr>
                <w:color w:val="FFFFFF"/>
                <w:sz w:val="20"/>
                <w:szCs w:val="20"/>
              </w:rPr>
              <w:tab/>
              <w:t>How it will be integrated in the Council process</w:t>
            </w:r>
          </w:p>
        </w:tc>
        <w:tc>
          <w:tcPr>
            <w:tcW w:w="7825" w:type="dxa"/>
            <w:tcBorders>
              <w:top w:val="single" w:sz="4" w:space="0" w:color="5B9BD5"/>
              <w:bottom w:val="single" w:sz="4" w:space="0" w:color="5B9BD5"/>
              <w:right w:val="single" w:sz="4" w:space="0" w:color="5B9BD5"/>
            </w:tcBorders>
          </w:tcPr>
          <w:p w:rsidR="007D7E84" w:rsidRDefault="00CC1370">
            <w:pPr>
              <w:keepNext/>
              <w:rPr>
                <w:sz w:val="20"/>
                <w:szCs w:val="20"/>
              </w:rPr>
            </w:pPr>
            <w:r>
              <w:rPr>
                <w:sz w:val="19"/>
                <w:szCs w:val="19"/>
              </w:rPr>
              <w:t>Short-term “climate-ready” management actions can be developed and implemented relatively quickly, thus climate change management strategy evaluations would be focused on testing their performance under the full scope of potential future conditions. In con</w:t>
            </w:r>
            <w:r>
              <w:rPr>
                <w:sz w:val="19"/>
                <w:szCs w:val="19"/>
              </w:rPr>
              <w:t>trast, modification of medium- and long-term management measures require more specific characterization of risk and uncertainty around future trajectories, with thorough scientific evaluation as well as stakeholder and Council review and feedback. This inf</w:t>
            </w:r>
            <w:r>
              <w:rPr>
                <w:sz w:val="19"/>
                <w:szCs w:val="19"/>
              </w:rPr>
              <w:t>ormation can provide a frame of reference for setting harvest recommendations and implementing other management actions. Alternatively, climate-specific biomass reference limits (e.g., temperature-specific F</w:t>
            </w:r>
            <w:r>
              <w:rPr>
                <w:sz w:val="19"/>
                <w:szCs w:val="19"/>
                <w:vertAlign w:val="subscript"/>
              </w:rPr>
              <w:t>ABC</w:t>
            </w:r>
            <w:r>
              <w:rPr>
                <w:sz w:val="19"/>
                <w:szCs w:val="19"/>
              </w:rPr>
              <w:t>) are derived using projections of environment</w:t>
            </w:r>
            <w:r>
              <w:rPr>
                <w:sz w:val="19"/>
                <w:szCs w:val="19"/>
              </w:rPr>
              <w:t>ally enhanced single- or multi-species assessment models and can be used to set harvest rates that account for future climate variability. If management strategy evaluations as part of objective (3) determine the performance of these reference points is ac</w:t>
            </w:r>
            <w:r>
              <w:rPr>
                <w:sz w:val="19"/>
                <w:szCs w:val="19"/>
              </w:rPr>
              <w:t xml:space="preserve">ceptable or preferable, they could be used to set harvest recommendations (or alternatively, could be presented along with status-quo assessment values) and to inform conservation measures. </w:t>
            </w:r>
          </w:p>
        </w:tc>
      </w:tr>
      <w:tr w:rsidR="007D7E84">
        <w:trPr>
          <w:trHeight w:val="107"/>
        </w:trPr>
        <w:tc>
          <w:tcPr>
            <w:tcW w:w="1525" w:type="dxa"/>
            <w:tcBorders>
              <w:top w:val="single" w:sz="4" w:space="0" w:color="5B9BD5"/>
              <w:bottom w:val="single" w:sz="4" w:space="0" w:color="70AD47"/>
            </w:tcBorders>
          </w:tcPr>
          <w:p w:rsidR="007D7E84" w:rsidRDefault="007D7E84">
            <w:pPr>
              <w:keepNext/>
              <w:ind w:left="244" w:hanging="244"/>
              <w:rPr>
                <w:sz w:val="20"/>
                <w:szCs w:val="20"/>
              </w:rPr>
            </w:pPr>
          </w:p>
        </w:tc>
        <w:tc>
          <w:tcPr>
            <w:tcW w:w="7825" w:type="dxa"/>
            <w:tcBorders>
              <w:top w:val="single" w:sz="4" w:space="0" w:color="5B9BD5"/>
              <w:bottom w:val="single" w:sz="4" w:space="0" w:color="70AD47"/>
            </w:tcBorders>
          </w:tcPr>
          <w:p w:rsidR="007D7E84" w:rsidRDefault="007D7E84">
            <w:pPr>
              <w:keepNext/>
              <w:rPr>
                <w:sz w:val="20"/>
                <w:szCs w:val="20"/>
              </w:rPr>
            </w:pPr>
          </w:p>
        </w:tc>
      </w:tr>
      <w:tr w:rsidR="007D7E84">
        <w:tc>
          <w:tcPr>
            <w:tcW w:w="1525" w:type="dxa"/>
            <w:tcBorders>
              <w:top w:val="single" w:sz="4" w:space="0" w:color="70AD47"/>
              <w:left w:val="single" w:sz="4" w:space="0" w:color="70AD47"/>
              <w:bottom w:val="single" w:sz="4" w:space="0" w:color="70AD47"/>
            </w:tcBorders>
            <w:shd w:val="clear" w:color="auto" w:fill="70AD47"/>
          </w:tcPr>
          <w:p w:rsidR="007D7E84" w:rsidRDefault="00CC1370">
            <w:pPr>
              <w:keepNext/>
              <w:ind w:left="244" w:hanging="244"/>
              <w:rPr>
                <w:sz w:val="20"/>
                <w:szCs w:val="20"/>
              </w:rPr>
            </w:pPr>
            <w:r>
              <w:rPr>
                <w:color w:val="FFFFFF"/>
                <w:sz w:val="20"/>
                <w:szCs w:val="20"/>
              </w:rPr>
              <w:t>5.</w:t>
            </w:r>
            <w:r>
              <w:rPr>
                <w:color w:val="FFFFFF"/>
                <w:sz w:val="20"/>
                <w:szCs w:val="20"/>
              </w:rPr>
              <w:tab/>
              <w:t>Estimate of time and staff resources</w:t>
            </w:r>
          </w:p>
        </w:tc>
        <w:tc>
          <w:tcPr>
            <w:tcW w:w="7825" w:type="dxa"/>
            <w:tcBorders>
              <w:top w:val="single" w:sz="4" w:space="0" w:color="70AD47"/>
              <w:bottom w:val="single" w:sz="4" w:space="0" w:color="70AD47"/>
              <w:right w:val="single" w:sz="4" w:space="0" w:color="70AD47"/>
            </w:tcBorders>
          </w:tcPr>
          <w:p w:rsidR="007D7E84" w:rsidRDefault="00CC1370">
            <w:pPr>
              <w:keepNext/>
              <w:rPr>
                <w:sz w:val="19"/>
                <w:szCs w:val="19"/>
              </w:rPr>
            </w:pPr>
            <w:r>
              <w:rPr>
                <w:sz w:val="19"/>
                <w:szCs w:val="19"/>
              </w:rPr>
              <w:t>Multiple ongoing projects at AFSC are already providing the logistical and analytical support to meet the first two parts of the Action Module, as well as provide the modeling platforms for part 3. Interdisciplinary teams like those already assembled for o</w:t>
            </w:r>
            <w:r>
              <w:rPr>
                <w:sz w:val="19"/>
                <w:szCs w:val="19"/>
              </w:rPr>
              <w:t>ngoing projects will be needed to conduct the full 5- to 7-year MSE evaluations, but personnel needs will depend greatly on the number and complexity of MSE scenarios and the number of new species evaluations.</w:t>
            </w:r>
          </w:p>
        </w:tc>
      </w:tr>
      <w:tr w:rsidR="007D7E84">
        <w:trPr>
          <w:trHeight w:val="107"/>
        </w:trPr>
        <w:tc>
          <w:tcPr>
            <w:tcW w:w="1525" w:type="dxa"/>
            <w:tcBorders>
              <w:top w:val="single" w:sz="4" w:space="0" w:color="70AD47"/>
              <w:bottom w:val="single" w:sz="4" w:space="0" w:color="4472C4"/>
            </w:tcBorders>
          </w:tcPr>
          <w:p w:rsidR="007D7E84" w:rsidRDefault="007D7E84">
            <w:pPr>
              <w:keepNext/>
              <w:ind w:left="244" w:hanging="244"/>
              <w:rPr>
                <w:sz w:val="20"/>
                <w:szCs w:val="20"/>
              </w:rPr>
            </w:pPr>
          </w:p>
        </w:tc>
        <w:tc>
          <w:tcPr>
            <w:tcW w:w="7825" w:type="dxa"/>
            <w:tcBorders>
              <w:top w:val="single" w:sz="4" w:space="0" w:color="70AD47"/>
              <w:bottom w:val="single" w:sz="4" w:space="0" w:color="4472C4"/>
            </w:tcBorders>
          </w:tcPr>
          <w:p w:rsidR="007D7E84" w:rsidRDefault="007D7E84">
            <w:pPr>
              <w:keepNext/>
              <w:rPr>
                <w:sz w:val="20"/>
                <w:szCs w:val="20"/>
              </w:rPr>
            </w:pPr>
          </w:p>
        </w:tc>
      </w:tr>
      <w:tr w:rsidR="007D7E84">
        <w:tc>
          <w:tcPr>
            <w:tcW w:w="1525" w:type="dxa"/>
            <w:tcBorders>
              <w:top w:val="single" w:sz="4" w:space="0" w:color="4472C4"/>
              <w:left w:val="single" w:sz="4" w:space="0" w:color="4472C4"/>
              <w:bottom w:val="single" w:sz="4" w:space="0" w:color="4472C4"/>
            </w:tcBorders>
            <w:shd w:val="clear" w:color="auto" w:fill="4472C4"/>
          </w:tcPr>
          <w:p w:rsidR="007D7E84" w:rsidRDefault="00CC1370">
            <w:pPr>
              <w:ind w:left="244" w:hanging="244"/>
              <w:rPr>
                <w:sz w:val="20"/>
                <w:szCs w:val="20"/>
              </w:rPr>
            </w:pPr>
            <w:r>
              <w:rPr>
                <w:color w:val="FFFFFF"/>
                <w:sz w:val="20"/>
                <w:szCs w:val="20"/>
              </w:rPr>
              <w:t>6.</w:t>
            </w:r>
            <w:r>
              <w:rPr>
                <w:color w:val="FFFFFF"/>
                <w:sz w:val="20"/>
                <w:szCs w:val="20"/>
              </w:rPr>
              <w:tab/>
            </w:r>
            <w:r>
              <w:rPr>
                <w:color w:val="FFFFFF"/>
                <w:sz w:val="20"/>
                <w:szCs w:val="20"/>
              </w:rPr>
              <w:t>Plan for public involvement</w:t>
            </w:r>
          </w:p>
        </w:tc>
        <w:tc>
          <w:tcPr>
            <w:tcW w:w="7825" w:type="dxa"/>
            <w:tcBorders>
              <w:top w:val="single" w:sz="4" w:space="0" w:color="4472C4"/>
              <w:bottom w:val="single" w:sz="4" w:space="0" w:color="4472C4"/>
              <w:right w:val="single" w:sz="4" w:space="0" w:color="4472C4"/>
            </w:tcBorders>
          </w:tcPr>
          <w:p w:rsidR="007D7E84" w:rsidRDefault="00CC1370">
            <w:pPr>
              <w:keepNext/>
              <w:rPr>
                <w:sz w:val="20"/>
                <w:szCs w:val="20"/>
              </w:rPr>
            </w:pPr>
            <w:r>
              <w:rPr>
                <w:sz w:val="19"/>
                <w:szCs w:val="19"/>
              </w:rPr>
              <w:t>For this Action Module, the Council may solicit public input, to identify priorities for MSE evaluations. The climate change module taskforce would ideally include broad expertise across diverse knowledge holders (e.g., traditio</w:t>
            </w:r>
            <w:r>
              <w:rPr>
                <w:sz w:val="19"/>
                <w:szCs w:val="19"/>
              </w:rPr>
              <w:t>nal knowledge holders). Stakeholders will also be involved through the Council process and iterative dialogue with module taskforce members.</w:t>
            </w:r>
          </w:p>
        </w:tc>
      </w:tr>
    </w:tbl>
    <w:p w:rsidR="007D7E84" w:rsidRDefault="007D7E84">
      <w:pPr>
        <w:spacing w:after="200" w:line="276" w:lineRule="auto"/>
        <w:rPr>
          <w:sz w:val="14"/>
          <w:szCs w:val="14"/>
        </w:rPr>
      </w:pPr>
    </w:p>
    <w:p w:rsidR="007D7E84" w:rsidRDefault="00CC1370">
      <w:pPr>
        <w:pStyle w:val="Heading1"/>
        <w:spacing w:after="200" w:line="276" w:lineRule="auto"/>
      </w:pPr>
      <w:bookmarkStart w:id="39" w:name="_1pxezwc" w:colFirst="0" w:colLast="0"/>
      <w:bookmarkEnd w:id="39"/>
      <w:r>
        <w:br w:type="page"/>
      </w:r>
    </w:p>
    <w:p w:rsidR="007D7E84" w:rsidRDefault="00CC1370">
      <w:pPr>
        <w:pStyle w:val="Heading1"/>
        <w:spacing w:after="200" w:line="276" w:lineRule="auto"/>
      </w:pPr>
      <w:bookmarkStart w:id="40" w:name="_hf9exc79d4h9" w:colFirst="0" w:colLast="0"/>
      <w:bookmarkEnd w:id="40"/>
      <w:r>
        <w:lastRenderedPageBreak/>
        <w:t>Appendix 2: Membership of Climate Change Taskforce</w:t>
      </w:r>
    </w:p>
    <w:p w:rsidR="007D7E84" w:rsidRDefault="00CC1370">
      <w:pPr>
        <w:spacing w:after="0" w:line="276" w:lineRule="auto"/>
        <w:rPr>
          <w:rFonts w:ascii="Arial" w:eastAsia="Arial" w:hAnsi="Arial" w:cs="Arial"/>
        </w:rPr>
      </w:pPr>
      <w:r>
        <w:rPr>
          <w:rFonts w:ascii="Arial" w:eastAsia="Arial" w:hAnsi="Arial" w:cs="Arial"/>
        </w:rPr>
        <w:t>Lauren Divine (Aleut Community of Saint Paul Island)</w:t>
      </w:r>
    </w:p>
    <w:p w:rsidR="007D7E84" w:rsidRDefault="00CC1370">
      <w:pPr>
        <w:spacing w:after="0" w:line="276" w:lineRule="auto"/>
        <w:rPr>
          <w:rFonts w:ascii="Arial" w:eastAsia="Arial" w:hAnsi="Arial" w:cs="Arial"/>
        </w:rPr>
      </w:pPr>
      <w:r>
        <w:rPr>
          <w:rFonts w:ascii="Arial" w:eastAsia="Arial" w:hAnsi="Arial" w:cs="Arial"/>
        </w:rPr>
        <w:t>Scott G</w:t>
      </w:r>
      <w:r>
        <w:rPr>
          <w:rFonts w:ascii="Arial" w:eastAsia="Arial" w:hAnsi="Arial" w:cs="Arial"/>
        </w:rPr>
        <w:t>oodman (Natural Resources Consultants/Bering Sea Fisheries Research Foundation) Kirstin Holsman co-Chair (AFSC-Seattle)</w:t>
      </w:r>
    </w:p>
    <w:p w:rsidR="007D7E84" w:rsidRDefault="00CC1370">
      <w:pPr>
        <w:spacing w:after="0" w:line="276" w:lineRule="auto"/>
        <w:rPr>
          <w:rFonts w:ascii="Arial" w:eastAsia="Arial" w:hAnsi="Arial" w:cs="Arial"/>
        </w:rPr>
      </w:pPr>
      <w:r>
        <w:rPr>
          <w:rFonts w:ascii="Arial" w:eastAsia="Arial" w:hAnsi="Arial" w:cs="Arial"/>
        </w:rPr>
        <w:t>Joe Krieger (NMFS-Regional Office)</w:t>
      </w:r>
    </w:p>
    <w:p w:rsidR="007D7E84" w:rsidRDefault="00CC1370">
      <w:pPr>
        <w:spacing w:after="0" w:line="276" w:lineRule="auto"/>
        <w:rPr>
          <w:rFonts w:ascii="Arial" w:eastAsia="Arial" w:hAnsi="Arial" w:cs="Arial"/>
        </w:rPr>
      </w:pPr>
      <w:r>
        <w:rPr>
          <w:rFonts w:ascii="Arial" w:eastAsia="Arial" w:hAnsi="Arial" w:cs="Arial"/>
        </w:rPr>
        <w:t>Mike LeVine (Ocean Conservancy)</w:t>
      </w:r>
    </w:p>
    <w:p w:rsidR="007D7E84" w:rsidRDefault="00CC1370">
      <w:pPr>
        <w:spacing w:after="0" w:line="276" w:lineRule="auto"/>
        <w:rPr>
          <w:rFonts w:ascii="Arial" w:eastAsia="Arial" w:hAnsi="Arial" w:cs="Arial"/>
        </w:rPr>
      </w:pPr>
      <w:r>
        <w:rPr>
          <w:rFonts w:ascii="Arial" w:eastAsia="Arial" w:hAnsi="Arial" w:cs="Arial"/>
        </w:rPr>
        <w:t>Steve Martell (SeaState)</w:t>
      </w:r>
    </w:p>
    <w:p w:rsidR="007D7E84" w:rsidRDefault="00CC1370">
      <w:pPr>
        <w:spacing w:after="0" w:line="276" w:lineRule="auto"/>
        <w:rPr>
          <w:rFonts w:ascii="Arial" w:eastAsia="Arial" w:hAnsi="Arial" w:cs="Arial"/>
        </w:rPr>
      </w:pPr>
      <w:r>
        <w:rPr>
          <w:rFonts w:ascii="Arial" w:eastAsia="Arial" w:hAnsi="Arial" w:cs="Arial"/>
        </w:rPr>
        <w:t>Brenden Raymond-Yakoubian (Sandhill.Culture.Craft)</w:t>
      </w:r>
    </w:p>
    <w:p w:rsidR="007D7E84" w:rsidRDefault="00CC1370">
      <w:pPr>
        <w:spacing w:after="0" w:line="276" w:lineRule="auto"/>
        <w:rPr>
          <w:rFonts w:ascii="Arial" w:eastAsia="Arial" w:hAnsi="Arial" w:cs="Arial"/>
        </w:rPr>
      </w:pPr>
      <w:r>
        <w:rPr>
          <w:rFonts w:ascii="Arial" w:eastAsia="Arial" w:hAnsi="Arial" w:cs="Arial"/>
        </w:rPr>
        <w:t>Jeremy Sterling (AFSC Marine Mammal Lab)</w:t>
      </w:r>
    </w:p>
    <w:p w:rsidR="007D7E84" w:rsidRDefault="00CC1370">
      <w:pPr>
        <w:spacing w:after="0" w:line="276" w:lineRule="auto"/>
        <w:rPr>
          <w:rFonts w:ascii="Arial" w:eastAsia="Arial" w:hAnsi="Arial" w:cs="Arial"/>
        </w:rPr>
      </w:pPr>
      <w:r>
        <w:rPr>
          <w:rFonts w:ascii="Arial" w:eastAsia="Arial" w:hAnsi="Arial" w:cs="Arial"/>
        </w:rPr>
        <w:t>Diana Stram co-Chair (NPFMC)</w:t>
      </w:r>
    </w:p>
    <w:p w:rsidR="007D7E84" w:rsidRDefault="007D7E84">
      <w:pPr>
        <w:spacing w:after="0" w:line="276" w:lineRule="auto"/>
        <w:rPr>
          <w:rFonts w:ascii="Arial" w:eastAsia="Arial" w:hAnsi="Arial" w:cs="Arial"/>
        </w:rPr>
      </w:pPr>
    </w:p>
    <w:p w:rsidR="007D7E84" w:rsidRDefault="00CC1370">
      <w:pPr>
        <w:pStyle w:val="Heading1"/>
        <w:spacing w:after="0" w:line="276" w:lineRule="auto"/>
      </w:pPr>
      <w:bookmarkStart w:id="41" w:name="_tej4bs2jq0aa" w:colFirst="0" w:colLast="0"/>
      <w:bookmarkEnd w:id="41"/>
      <w:r>
        <w:t>List of case studies?</w:t>
      </w:r>
    </w:p>
    <w:p w:rsidR="007D7E84" w:rsidRDefault="00CC1370">
      <w:pPr>
        <w:pStyle w:val="Heading1"/>
      </w:pPr>
      <w:bookmarkStart w:id="42" w:name="_fm8c8tuoybk7" w:colFirst="0" w:colLast="0"/>
      <w:bookmarkEnd w:id="42"/>
      <w:r>
        <w:t>Appendix 3: Case study criteria</w:t>
      </w:r>
    </w:p>
    <w:p w:rsidR="007D7E84" w:rsidRDefault="007D7E84"/>
    <w:p w:rsidR="007D7E84" w:rsidRDefault="007D7E84"/>
    <w:sectPr w:rsidR="007D7E84">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370" w:rsidRDefault="00CC1370">
      <w:pPr>
        <w:spacing w:after="0"/>
      </w:pPr>
      <w:r>
        <w:separator/>
      </w:r>
    </w:p>
  </w:endnote>
  <w:endnote w:type="continuationSeparator" w:id="0">
    <w:p w:rsidR="00CC1370" w:rsidRDefault="00CC13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E84" w:rsidRDefault="00CC1370">
    <w:pPr>
      <w:pBdr>
        <w:top w:val="nil"/>
        <w:left w:val="nil"/>
        <w:bottom w:val="nil"/>
        <w:right w:val="nil"/>
        <w:between w:val="nil"/>
      </w:pBdr>
      <w:tabs>
        <w:tab w:val="center" w:pos="4680"/>
        <w:tab w:val="right" w:pos="9360"/>
      </w:tabs>
      <w:spacing w:after="0"/>
      <w:rPr>
        <w:rFonts w:ascii="Arial" w:eastAsia="Arial" w:hAnsi="Arial" w:cs="Arial"/>
        <w:color w:val="000000"/>
        <w:sz w:val="20"/>
        <w:szCs w:val="20"/>
      </w:rPr>
    </w:pPr>
    <w:r>
      <w:rPr>
        <w:rFonts w:ascii="Arial" w:eastAsia="Arial" w:hAnsi="Arial" w:cs="Arial"/>
        <w:i/>
        <w:color w:val="000000"/>
        <w:sz w:val="18"/>
        <w:szCs w:val="18"/>
      </w:rPr>
      <w:t>DRAFT Workplan for BS FEP Climate Change Action Module,</w:t>
    </w:r>
    <w:r>
      <w:rPr>
        <w:rFonts w:ascii="Arial" w:eastAsia="Arial" w:hAnsi="Arial" w:cs="Arial"/>
        <w:i/>
        <w:sz w:val="18"/>
        <w:szCs w:val="18"/>
      </w:rPr>
      <w:t xml:space="preserve"> December</w:t>
    </w:r>
    <w:r>
      <w:rPr>
        <w:rFonts w:ascii="Arial" w:eastAsia="Arial" w:hAnsi="Arial" w:cs="Arial"/>
        <w:i/>
        <w:color w:val="000000"/>
        <w:sz w:val="18"/>
        <w:szCs w:val="18"/>
      </w:rPr>
      <w:t xml:space="preserve"> 2020</w:t>
    </w:r>
    <w:r>
      <w:rPr>
        <w:rFonts w:ascii="Cambria" w:eastAsia="Cambria" w:hAnsi="Cambria" w:cs="Cambria"/>
        <w:color w:val="000000"/>
        <w:sz w:val="18"/>
        <w:szCs w:val="18"/>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EA4CB5">
      <w:rPr>
        <w:rFonts w:ascii="Arial" w:eastAsia="Arial" w:hAnsi="Arial" w:cs="Arial"/>
        <w:color w:val="000000"/>
        <w:sz w:val="20"/>
        <w:szCs w:val="20"/>
      </w:rPr>
      <w:fldChar w:fldCharType="separate"/>
    </w:r>
    <w:r w:rsidR="00EA4CB5">
      <w:rPr>
        <w:rFonts w:ascii="Arial" w:eastAsia="Arial" w:hAnsi="Arial" w:cs="Arial"/>
        <w:noProof/>
        <w:color w:val="000000"/>
        <w:sz w:val="20"/>
        <w:szCs w:val="20"/>
      </w:rPr>
      <w:t>1</w:t>
    </w:r>
    <w:r>
      <w:rPr>
        <w:rFonts w:ascii="Arial" w:eastAsia="Arial" w:hAnsi="Arial" w:cs="Arial"/>
        <w:color w:val="000000"/>
        <w:sz w:val="20"/>
        <w:szCs w:val="20"/>
      </w:rPr>
      <w:fldChar w:fldCharType="end"/>
    </w:r>
  </w:p>
  <w:p w:rsidR="007D7E84" w:rsidRDefault="007D7E84">
    <w:pPr>
      <w:widowControl w:val="0"/>
      <w:pBdr>
        <w:top w:val="nil"/>
        <w:left w:val="nil"/>
        <w:bottom w:val="nil"/>
        <w:right w:val="nil"/>
        <w:between w:val="nil"/>
      </w:pBdr>
      <w:spacing w:after="0" w:line="276" w:lineRule="auto"/>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E84" w:rsidRDefault="007D7E84">
    <w:pPr>
      <w:jc w:val="right"/>
    </w:pPr>
  </w:p>
  <w:p w:rsidR="007D7E84" w:rsidRDefault="007D7E84">
    <w:pPr>
      <w:widowControl w:val="0"/>
      <w:pBdr>
        <w:top w:val="nil"/>
        <w:left w:val="nil"/>
        <w:bottom w:val="nil"/>
        <w:right w:val="nil"/>
        <w:between w:val="nil"/>
      </w:pBdr>
      <w:spacing w:after="0" w:line="276" w:lineRule="auto"/>
    </w:pPr>
  </w:p>
  <w:p w:rsidR="007D7E84" w:rsidRDefault="00CC1370">
    <w:pPr>
      <w:widowControl w:val="0"/>
      <w:pBdr>
        <w:top w:val="nil"/>
        <w:left w:val="nil"/>
        <w:bottom w:val="nil"/>
        <w:right w:val="nil"/>
        <w:between w:val="nil"/>
      </w:pBdr>
      <w:spacing w:after="0" w:line="276" w:lineRule="auto"/>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370" w:rsidRDefault="00CC1370">
      <w:pPr>
        <w:spacing w:after="0"/>
      </w:pPr>
      <w:r>
        <w:separator/>
      </w:r>
    </w:p>
  </w:footnote>
  <w:footnote w:type="continuationSeparator" w:id="0">
    <w:p w:rsidR="00CC1370" w:rsidRDefault="00CC1370">
      <w:pPr>
        <w:spacing w:after="0"/>
      </w:pPr>
      <w:r>
        <w:continuationSeparator/>
      </w:r>
    </w:p>
  </w:footnote>
  <w:footnote w:id="1">
    <w:p w:rsidR="007D7E84" w:rsidRDefault="00CC1370">
      <w:pPr>
        <w:spacing w:after="0"/>
        <w:rPr>
          <w:sz w:val="20"/>
          <w:szCs w:val="20"/>
        </w:rPr>
      </w:pPr>
      <w:r>
        <w:rPr>
          <w:vertAlign w:val="superscript"/>
        </w:rPr>
        <w:footnoteRef/>
      </w:r>
      <w:r>
        <w:rPr>
          <w:sz w:val="20"/>
          <w:szCs w:val="20"/>
        </w:rPr>
        <w:t xml:space="preserve"> </w:t>
      </w:r>
      <w:hyperlink r:id="rId1">
        <w:r>
          <w:rPr>
            <w:color w:val="1155CC"/>
            <w:sz w:val="20"/>
            <w:szCs w:val="20"/>
            <w:u w:val="single"/>
          </w:rPr>
          <w:t>diana.stram@noaa.gov</w:t>
        </w:r>
      </w:hyperlink>
      <w:r>
        <w:rPr>
          <w:sz w:val="20"/>
          <w:szCs w:val="20"/>
        </w:rPr>
        <w:t>, North Pacific Fishery Management Council</w:t>
      </w:r>
    </w:p>
  </w:footnote>
  <w:footnote w:id="2">
    <w:p w:rsidR="007D7E84" w:rsidRDefault="00CC1370">
      <w:pPr>
        <w:spacing w:after="0"/>
        <w:rPr>
          <w:sz w:val="20"/>
          <w:szCs w:val="20"/>
        </w:rPr>
      </w:pPr>
      <w:r>
        <w:rPr>
          <w:vertAlign w:val="superscript"/>
        </w:rPr>
        <w:footnoteRef/>
      </w:r>
      <w:r>
        <w:rPr>
          <w:sz w:val="20"/>
          <w:szCs w:val="20"/>
        </w:rPr>
        <w:t xml:space="preserve"> </w:t>
      </w:r>
      <w:hyperlink r:id="rId2">
        <w:r>
          <w:rPr>
            <w:color w:val="1155CC"/>
            <w:sz w:val="20"/>
            <w:szCs w:val="20"/>
            <w:u w:val="single"/>
          </w:rPr>
          <w:t>kirstin.holsman@noaa.gov</w:t>
        </w:r>
      </w:hyperlink>
      <w:r>
        <w:rPr>
          <w:sz w:val="20"/>
          <w:szCs w:val="20"/>
        </w:rPr>
        <w:t>, Alaska Fisheries Science Center,  Nationa</w:t>
      </w:r>
      <w:r>
        <w:rPr>
          <w:sz w:val="20"/>
          <w:szCs w:val="20"/>
        </w:rPr>
        <w:t>l Oceanic and Atmospheric Administration, Seattle, WA, USA</w:t>
      </w:r>
    </w:p>
  </w:footnote>
  <w:footnote w:id="3">
    <w:p w:rsidR="007D7E84" w:rsidRDefault="00CC1370">
      <w:pPr>
        <w:spacing w:after="0"/>
        <w:rPr>
          <w:sz w:val="20"/>
          <w:szCs w:val="20"/>
        </w:rPr>
      </w:pPr>
      <w:r>
        <w:rPr>
          <w:vertAlign w:val="superscript"/>
        </w:rPr>
        <w:footnoteRef/>
      </w:r>
      <w:r>
        <w:rPr>
          <w:sz w:val="20"/>
          <w:szCs w:val="20"/>
        </w:rPr>
        <w:t xml:space="preserve"> Aleut Community of Saint Paul Island</w:t>
      </w:r>
    </w:p>
  </w:footnote>
  <w:footnote w:id="4">
    <w:p w:rsidR="007D7E84" w:rsidRDefault="00CC1370">
      <w:pPr>
        <w:spacing w:after="0"/>
        <w:rPr>
          <w:sz w:val="20"/>
          <w:szCs w:val="20"/>
        </w:rPr>
      </w:pPr>
      <w:r>
        <w:rPr>
          <w:vertAlign w:val="superscript"/>
        </w:rPr>
        <w:footnoteRef/>
      </w:r>
      <w:r>
        <w:rPr>
          <w:sz w:val="20"/>
          <w:szCs w:val="20"/>
        </w:rPr>
        <w:t xml:space="preserve"> Natural Resources Consultants/Bering Sea Fis</w:t>
      </w:r>
      <w:r>
        <w:rPr>
          <w:sz w:val="20"/>
          <w:szCs w:val="20"/>
        </w:rPr>
        <w:t>heries Research Foundation</w:t>
      </w:r>
    </w:p>
  </w:footnote>
  <w:footnote w:id="5">
    <w:p w:rsidR="007D7E84" w:rsidRDefault="00CC1370">
      <w:pPr>
        <w:spacing w:after="0"/>
        <w:rPr>
          <w:sz w:val="20"/>
          <w:szCs w:val="20"/>
        </w:rPr>
      </w:pPr>
      <w:r>
        <w:rPr>
          <w:vertAlign w:val="superscript"/>
        </w:rPr>
        <w:footnoteRef/>
      </w:r>
      <w:r>
        <w:rPr>
          <w:sz w:val="20"/>
          <w:szCs w:val="20"/>
        </w:rPr>
        <w:t xml:space="preserve"> NMFS-Regional Office</w:t>
      </w:r>
    </w:p>
  </w:footnote>
  <w:footnote w:id="6">
    <w:p w:rsidR="007D7E84" w:rsidRDefault="00CC1370">
      <w:pPr>
        <w:spacing w:after="0"/>
        <w:rPr>
          <w:sz w:val="20"/>
          <w:szCs w:val="20"/>
        </w:rPr>
      </w:pPr>
      <w:r>
        <w:rPr>
          <w:vertAlign w:val="superscript"/>
        </w:rPr>
        <w:footnoteRef/>
      </w:r>
      <w:r>
        <w:rPr>
          <w:sz w:val="20"/>
          <w:szCs w:val="20"/>
        </w:rPr>
        <w:t xml:space="preserve"> Ocean Conservancy</w:t>
      </w:r>
    </w:p>
  </w:footnote>
  <w:footnote w:id="7">
    <w:p w:rsidR="007D7E84" w:rsidRDefault="00CC1370">
      <w:pPr>
        <w:spacing w:after="0"/>
        <w:rPr>
          <w:sz w:val="20"/>
          <w:szCs w:val="20"/>
        </w:rPr>
      </w:pPr>
      <w:r>
        <w:rPr>
          <w:vertAlign w:val="superscript"/>
        </w:rPr>
        <w:footnoteRef/>
      </w:r>
      <w:r>
        <w:rPr>
          <w:sz w:val="20"/>
          <w:szCs w:val="20"/>
        </w:rPr>
        <w:t xml:space="preserve"> SeaState</w:t>
      </w:r>
    </w:p>
  </w:footnote>
  <w:footnote w:id="8">
    <w:p w:rsidR="007D7E84" w:rsidRDefault="00CC1370">
      <w:pPr>
        <w:spacing w:after="0"/>
        <w:rPr>
          <w:sz w:val="20"/>
          <w:szCs w:val="20"/>
        </w:rPr>
      </w:pPr>
      <w:r>
        <w:rPr>
          <w:vertAlign w:val="superscript"/>
        </w:rPr>
        <w:footnoteRef/>
      </w:r>
      <w:r>
        <w:rPr>
          <w:sz w:val="20"/>
          <w:szCs w:val="20"/>
        </w:rPr>
        <w:t xml:space="preserve"> Sandhill.Culture.Craft</w:t>
      </w:r>
    </w:p>
  </w:footnote>
  <w:footnote w:id="9">
    <w:p w:rsidR="007D7E84" w:rsidRDefault="00CC1370">
      <w:pPr>
        <w:spacing w:after="0"/>
        <w:rPr>
          <w:sz w:val="20"/>
          <w:szCs w:val="20"/>
        </w:rPr>
      </w:pPr>
      <w:r>
        <w:rPr>
          <w:vertAlign w:val="superscript"/>
        </w:rPr>
        <w:footnoteRef/>
      </w:r>
      <w:r>
        <w:rPr>
          <w:sz w:val="20"/>
          <w:szCs w:val="20"/>
        </w:rPr>
        <w:t xml:space="preserve"> AFSC Marine Mammal Lab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E84" w:rsidRDefault="00CC1370">
    <w:pPr>
      <w:rPr>
        <w:rFonts w:ascii="Arial" w:eastAsia="Arial" w:hAnsi="Arial" w:cs="Arial"/>
        <w:i/>
        <w:color w:val="666666"/>
        <w:sz w:val="20"/>
        <w:szCs w:val="20"/>
      </w:rPr>
    </w:pPr>
    <w:r>
      <w:rPr>
        <w:rFonts w:ascii="Arial" w:eastAsia="Arial" w:hAnsi="Arial" w:cs="Arial"/>
        <w:i/>
        <w:color w:val="666666"/>
        <w:sz w:val="20"/>
        <w:szCs w:val="20"/>
      </w:rPr>
      <w:t>Draft for BS FEP team review,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62685"/>
    <w:multiLevelType w:val="multilevel"/>
    <w:tmpl w:val="FEB640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1AE3BCB"/>
    <w:multiLevelType w:val="multilevel"/>
    <w:tmpl w:val="24CAA5A6"/>
    <w:lvl w:ilvl="0">
      <w:start w:val="1"/>
      <w:numFmt w:val="decimal"/>
      <w:lvlText w:val="%1)"/>
      <w:lvlJc w:val="left"/>
      <w:pPr>
        <w:ind w:left="720" w:hanging="360"/>
      </w:pPr>
      <w:rPr>
        <w:u w:val="none"/>
      </w:rPr>
    </w:lvl>
    <w:lvl w:ilvl="1">
      <w:start w:val="1"/>
      <w:numFmt w:val="bullet"/>
      <w:lvlText w:val="○"/>
      <w:lvlJc w:val="left"/>
      <w:pPr>
        <w:ind w:left="180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7E107A"/>
    <w:multiLevelType w:val="multilevel"/>
    <w:tmpl w:val="B62AE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12B5C72"/>
    <w:multiLevelType w:val="multilevel"/>
    <w:tmpl w:val="88E08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1D778D"/>
    <w:multiLevelType w:val="multilevel"/>
    <w:tmpl w:val="4CC48F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D803BCF"/>
    <w:multiLevelType w:val="multilevel"/>
    <w:tmpl w:val="6FB83E5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77A47BB"/>
    <w:multiLevelType w:val="multilevel"/>
    <w:tmpl w:val="45B20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E84"/>
    <w:rsid w:val="007D7E84"/>
    <w:rsid w:val="00CC1370"/>
    <w:rsid w:val="00EA4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F83E0-B58A-4262-9732-F0691ED8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80"/>
      <w:outlineLvl w:val="0"/>
    </w:pPr>
    <w:rPr>
      <w:rFonts w:ascii="Calibri" w:eastAsia="Calibri" w:hAnsi="Calibri" w:cs="Calibri"/>
      <w:b/>
      <w:color w:val="3D85C6"/>
      <w:sz w:val="38"/>
      <w:szCs w:val="38"/>
    </w:rPr>
  </w:style>
  <w:style w:type="paragraph" w:styleId="Heading2">
    <w:name w:val="heading 2"/>
    <w:basedOn w:val="Normal"/>
    <w:next w:val="Normal"/>
    <w:uiPriority w:val="9"/>
    <w:unhideWhenUsed/>
    <w:qFormat/>
    <w:pPr>
      <w:keepNext/>
      <w:keepLines/>
      <w:spacing w:before="360"/>
      <w:outlineLvl w:val="1"/>
    </w:pPr>
    <w:rPr>
      <w:rFonts w:ascii="Calibri" w:eastAsia="Calibri" w:hAnsi="Calibri" w:cs="Calibri"/>
      <w:b/>
      <w:sz w:val="30"/>
      <w:szCs w:val="30"/>
    </w:rPr>
  </w:style>
  <w:style w:type="paragraph" w:styleId="Heading3">
    <w:name w:val="heading 3"/>
    <w:basedOn w:val="Normal"/>
    <w:next w:val="Normal"/>
    <w:uiPriority w:val="9"/>
    <w:unhideWhenUsed/>
    <w:qFormat/>
    <w:pPr>
      <w:keepNext/>
      <w:keepLines/>
      <w:spacing w:before="320" w:after="80"/>
      <w:outlineLvl w:val="2"/>
    </w:pPr>
    <w:rPr>
      <w:rFonts w:ascii="Arial" w:eastAsia="Arial" w:hAnsi="Arial" w:cs="Arial"/>
      <w:color w:val="434343"/>
      <w:sz w:val="24"/>
      <w:szCs w:val="24"/>
    </w:rPr>
  </w:style>
  <w:style w:type="paragraph" w:styleId="Heading4">
    <w:name w:val="heading 4"/>
    <w:basedOn w:val="Normal"/>
    <w:next w:val="Normal"/>
    <w:uiPriority w:val="9"/>
    <w:unhideWhenUsed/>
    <w:qFormat/>
    <w:pPr>
      <w:keepNext/>
      <w:keepLines/>
      <w:spacing w:before="280" w:after="200"/>
      <w:ind w:left="270" w:right="360"/>
      <w:outlineLvl w:val="3"/>
    </w:pPr>
    <w:rPr>
      <w:rFonts w:ascii="Calibri" w:eastAsia="Calibri" w:hAnsi="Calibri" w:cs="Calibri"/>
      <w:i/>
      <w:color w:val="3D85C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rFonts w:ascii="Arial" w:eastAsia="Arial" w:hAnsi="Arial" w:cs="Arial"/>
      <w:b/>
      <w:sz w:val="36"/>
      <w:szCs w:val="36"/>
    </w:rPr>
  </w:style>
  <w:style w:type="paragraph" w:styleId="Subtitle">
    <w:name w:val="Subtitle"/>
    <w:basedOn w:val="Normal"/>
    <w:next w:val="Normal"/>
    <w:uiPriority w:val="11"/>
    <w:qFormat/>
    <w:pPr>
      <w:keepNext/>
      <w:keepLines/>
      <w:spacing w:after="320"/>
    </w:pPr>
    <w:rPr>
      <w:rFonts w:ascii="Arial" w:eastAsia="Arial" w:hAnsi="Arial" w:cs="Arial"/>
      <w:color w:val="666666"/>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rPr>
      <w:rFonts w:ascii="Calibri" w:eastAsia="Calibri" w:hAnsi="Calibri" w:cs="Calibri"/>
    </w:rPr>
    <w:tblPr>
      <w:tblStyleRowBandSize w:val="1"/>
      <w:tblStyleColBandSize w:val="1"/>
      <w:tblCellMar>
        <w:top w:w="100" w:type="dxa"/>
        <w:left w:w="29" w:type="dxa"/>
        <w:bottom w:w="100" w:type="dxa"/>
        <w:right w:w="29"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4C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C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yperlink" Target="https://www.afsc.noaa.gov/Publications/AFSC-TM/NOAA-TM-AFSC-336.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yperlink" Target="https://doi.org/10.1016/j.marpol.2018.08.028" TargetMode="External"/><Relationship Id="rId2" Type="http://schemas.openxmlformats.org/officeDocument/2006/relationships/styles" Target="styles.xml"/><Relationship Id="rId16" Type="http://schemas.openxmlformats.org/officeDocument/2006/relationships/hyperlink" Target="https://doi.org/10.1093/icesjms/fsz04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fisheries.noaa.gov/content/alaska-bering-sea-regional-action-plan"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eetings.npfmc.org/CommentReview/DownloadFile?p=c334ad33-4139-4b5a-b205-a8b7c5028562.pdf&amp;fileName=D6%20Final%20BS%20FEP%20Jan%202019.pdf" TargetMode="External"/><Relationship Id="rId14" Type="http://schemas.openxmlformats.org/officeDocument/2006/relationships/hyperlink" Target="https://www.integratedecosystemassessment.noaa.go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kirstin.holsman@noaa.gov" TargetMode="External"/><Relationship Id="rId1" Type="http://schemas.openxmlformats.org/officeDocument/2006/relationships/hyperlink" Target="mailto:diana.stram@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7695</Words>
  <Characters>43867</Characters>
  <Application>Microsoft Office Word</Application>
  <DocSecurity>0</DocSecurity>
  <Lines>365</Lines>
  <Paragraphs>102</Paragraphs>
  <ScaleCrop>false</ScaleCrop>
  <Company/>
  <LinksUpToDate>false</LinksUpToDate>
  <CharactersWithSpaces>51460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Stram</cp:lastModifiedBy>
  <cp:revision>2</cp:revision>
  <dcterms:created xsi:type="dcterms:W3CDTF">2020-12-14T01:52:00Z</dcterms:created>
  <dcterms:modified xsi:type="dcterms:W3CDTF">2020-12-14T01:53:00Z</dcterms:modified>
</cp:coreProperties>
</file>